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490" w:type="dxa"/>
        <w:jc w:val="start"/>
        <w:tblInd w:w="0" w:type="dxa"/>
        <w:tblLayout w:type="fixed"/>
        <w:tblCellMar>
          <w:top w:w="28" w:type="dxa"/>
          <w:start w:w="28" w:type="dxa"/>
          <w:bottom w:w="28" w:type="dxa"/>
          <w:end w:w="28" w:type="dxa"/>
        </w:tblCellMar>
      </w:tblPr>
      <w:tblGrid>
        <w:gridCol w:w="1061"/>
        <w:gridCol w:w="7192"/>
        <w:gridCol w:w="237"/>
      </w:tblGrid>
      <w:tr>
        <w:trPr/>
        <w:tc>
          <w:tcPr>
            <w:tcW w:w="1061" w:type="dxa"/>
            <w:tcBorders/>
            <w:vAlign w:val="center"/>
          </w:tcPr>
          <w:p>
            <w:pPr>
              <w:pStyle w:val="TableContents"/>
              <w:bidi w:val="0"/>
              <w:spacing w:before="105" w:after="105"/>
              <w:ind w:hanging="0" w:start="0" w:end="0"/>
              <w:jc w:val="start"/>
              <w:rPr/>
            </w:pPr>
            <w:r>
              <w:rPr/>
              <w:drawing>
                <wp:inline distT="0" distB="0" distL="0" distR="0">
                  <wp:extent cx="609600" cy="914400"/>
                  <wp:effectExtent l="0" t="0" r="0" b="0"/>
                  <wp:docPr id="1" name="Image1" descr="" title="Rubaare Secondary School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Rubaare Secondary School badge"/>
                          <pic:cNvPicPr>
                            <a:picLocks noChangeAspect="1" noChangeArrowheads="1"/>
                          </pic:cNvPicPr>
                        </pic:nvPicPr>
                        <pic:blipFill>
                          <a:blip r:embed="rId2"/>
                          <a:stretch>
                            <a:fillRect/>
                          </a:stretch>
                        </pic:blipFill>
                        <pic:spPr bwMode="auto">
                          <a:xfrm>
                            <a:off x="0" y="0"/>
                            <a:ext cx="609600" cy="914400"/>
                          </a:xfrm>
                          <a:prstGeom prst="rect">
                            <a:avLst/>
                          </a:prstGeom>
                          <a:noFill/>
                        </pic:spPr>
                      </pic:pic>
                    </a:graphicData>
                  </a:graphic>
                </wp:inline>
              </w:drawing>
            </w:r>
          </w:p>
        </w:tc>
        <w:tc>
          <w:tcPr>
            <w:tcW w:w="7192" w:type="dxa"/>
            <w:tcBorders/>
            <w:vAlign w:val="center"/>
          </w:tcPr>
          <w:p>
            <w:pPr>
              <w:pStyle w:val="BodyTextschool"/>
              <w:bidi w:val="0"/>
              <w:spacing w:before="105" w:after="105"/>
              <w:jc w:val="center"/>
              <w:rPr/>
            </w:pPr>
            <w:r>
              <w:rPr/>
              <w:t>RUBAARE SECONDARY SCHOOL</w:t>
            </w:r>
          </w:p>
          <w:p>
            <w:pPr>
              <w:pStyle w:val="BodyTextmotto"/>
              <w:bidi w:val="0"/>
              <w:jc w:val="center"/>
              <w:rPr/>
            </w:pPr>
            <w:r>
              <w:rPr/>
              <w:t>Rise and Shine</w:t>
            </w:r>
          </w:p>
          <w:p>
            <w:pPr>
              <w:pStyle w:val="BodyTextcontact"/>
              <w:bidi w:val="0"/>
              <w:jc w:val="center"/>
              <w:rPr/>
            </w:pPr>
            <w:r>
              <w:rPr/>
              <w:t>P.O. Box 65, Ntungamo</w:t>
            </w:r>
          </w:p>
          <w:p>
            <w:pPr>
              <w:pStyle w:val="BodyTextcontact"/>
              <w:bidi w:val="0"/>
              <w:spacing w:before="15" w:after="15"/>
              <w:ind w:hanging="0" w:start="0" w:end="0"/>
              <w:jc w:val="center"/>
              <w:rPr/>
            </w:pPr>
            <w:r>
              <w:rPr/>
              <w:t>Telephone: 0772 923 571</w:t>
            </w:r>
          </w:p>
        </w:tc>
        <w:tc>
          <w:tcPr>
            <w:tcW w:w="237" w:type="dxa"/>
            <w:tcBorders/>
            <w:vAlign w:val="center"/>
          </w:tcPr>
          <w:p>
            <w:pPr>
              <w:pStyle w:val="TableContents"/>
              <w:bidi w:val="0"/>
              <w:spacing w:before="105" w:after="105"/>
              <w:jc w:val="start"/>
              <w:rPr>
                <w:sz w:val="4"/>
                <w:szCs w:val="4"/>
              </w:rPr>
            </w:pPr>
            <w:r>
              <w:rPr>
                <w:sz w:val="4"/>
                <w:szCs w:val="4"/>
              </w:rPr>
            </w:r>
          </w:p>
        </w:tc>
      </w:tr>
    </w:tbl>
    <w:p>
      <w:pPr>
        <w:pStyle w:val="BodyText"/>
        <w:bidi w:val="0"/>
        <w:spacing w:before="105" w:after="105"/>
        <w:ind w:start="105" w:end="105"/>
        <w:jc w:val="start"/>
        <w:rPr/>
      </w:pPr>
      <w:r>
        <w:rPr>
          <w:rStyle w:val="Strong"/>
        </w:rPr>
        <w:t>Date:</w:t>
      </w:r>
      <w:r>
        <w:rPr/>
        <w:t xml:space="preserve"> 18 August 2026</w:t>
      </w:r>
    </w:p>
    <w:p>
      <w:pPr>
        <w:pStyle w:val="BodyText"/>
        <w:bidi w:val="0"/>
        <w:spacing w:before="105" w:after="105"/>
        <w:ind w:start="105" w:end="105"/>
        <w:jc w:val="start"/>
        <w:rPr/>
      </w:pPr>
      <w:r>
        <w:rPr>
          <w:rStyle w:val="Strong"/>
        </w:rPr>
        <w:t>To:</w:t>
      </w:r>
      <w:r>
        <w:rPr/>
        <w:t xml:space="preserve"> Parents and Guardians</w:t>
      </w:r>
    </w:p>
    <w:p>
      <w:pPr>
        <w:pStyle w:val="BodyText"/>
        <w:bidi w:val="0"/>
        <w:spacing w:before="240" w:after="240"/>
        <w:ind w:hanging="0" w:start="240" w:end="240"/>
        <w:jc w:val="start"/>
        <w:rPr>
          <w:b/>
          <w:caps/>
          <w:color w:val="123F67"/>
          <w:bdr w:val="single" w:sz="24" w:space="9" w:color="D39A35"/>
          <w:shd w:fill="EDF3F7" w:val="clear"/>
        </w:rPr>
      </w:pPr>
      <w:r>
        <w:rPr>
          <w:b/>
          <w:caps/>
          <w:color w:val="123F67"/>
          <w:bdr w:val="single" w:sz="24" w:space="9" w:color="D39A35"/>
          <w:shd w:fill="EDF3F7" w:val="clear"/>
        </w:rPr>
        <w:t>RE: Communication from School</w:t>
      </w:r>
    </w:p>
    <w:p>
      <w:pPr>
        <w:pStyle w:val="BodyText"/>
        <w:bidi w:val="0"/>
        <w:spacing w:before="105" w:after="105"/>
        <w:ind w:start="105" w:end="105"/>
        <w:jc w:val="start"/>
        <w:rPr/>
      </w:pPr>
      <w:r>
        <w:rPr/>
        <w:t>Christian greetings from the Rubaare Secondary School community. The school appreciates parents and guardians for paying fees and supporting their children through the term.</w:t>
      </w:r>
    </w:p>
    <w:p>
      <w:pPr>
        <w:pStyle w:val="Heading2"/>
        <w:keepNext w:val="true"/>
        <w:numPr>
          <w:ilvl w:val="0"/>
          <w:numId w:val="0"/>
        </w:numPr>
        <w:bidi w:val="0"/>
        <w:spacing w:before="270" w:after="120"/>
        <w:ind w:hanging="0" w:start="270" w:end="270"/>
        <w:jc w:val="start"/>
        <w:rPr/>
      </w:pPr>
      <w:r>
        <w:rPr/>
        <w:t>1. Closure of Term II 2026</w:t>
      </w:r>
    </w:p>
    <w:p>
      <w:pPr>
        <w:pStyle w:val="BodyText"/>
        <w:bidi w:val="0"/>
        <w:spacing w:before="105" w:after="105"/>
        <w:ind w:start="105" w:end="105"/>
        <w:jc w:val="start"/>
        <w:rPr/>
      </w:pPr>
      <w:r>
        <w:rPr/>
        <w:t>Term II 2026 ended on Tuesday 18 August 2026 at 2:00 PM.</w:t>
      </w:r>
    </w:p>
    <w:p>
      <w:pPr>
        <w:pStyle w:val="BodyText"/>
        <w:bidi w:val="0"/>
        <w:spacing w:before="105" w:after="105"/>
        <w:ind w:start="105" w:end="105"/>
        <w:jc w:val="start"/>
        <w:rPr/>
      </w:pPr>
      <w:r>
        <w:rPr/>
        <w:t>Students went home with a report card, fees bill and parent's letter. Parents and guardians are asked to study these documents carefully and advise their children accordingly.</w:t>
      </w:r>
    </w:p>
    <w:p>
      <w:pPr>
        <w:pStyle w:val="Heading2"/>
        <w:keepNext w:val="true"/>
        <w:numPr>
          <w:ilvl w:val="0"/>
          <w:numId w:val="0"/>
        </w:numPr>
        <w:bidi w:val="0"/>
        <w:spacing w:before="270" w:after="120"/>
        <w:ind w:hanging="0" w:start="270" w:end="270"/>
        <w:jc w:val="start"/>
        <w:rPr/>
      </w:pPr>
      <w:r>
        <w:rPr/>
        <w:t>2. Academics</w:t>
      </w:r>
    </w:p>
    <w:p>
      <w:pPr>
        <w:pStyle w:val="BodyText"/>
        <w:numPr>
          <w:ilvl w:val="0"/>
          <w:numId w:val="1"/>
        </w:numPr>
        <w:tabs>
          <w:tab w:val="clear" w:pos="1134"/>
          <w:tab w:val="left" w:pos="814" w:leader="none"/>
        </w:tabs>
        <w:bidi w:val="0"/>
        <w:spacing w:before="105" w:after="0"/>
        <w:ind w:hanging="283" w:start="814" w:end="105"/>
        <w:jc w:val="start"/>
        <w:rPr/>
      </w:pPr>
      <w:r>
        <w:rPr/>
        <w:t xml:space="preserve">All S.1, S.2, S.3, S.4, S.5 and S.6 learners completed Beginning-of-Term-II examinations and curriculum Activities of Integration. </w:t>
      </w:r>
    </w:p>
    <w:p>
      <w:pPr>
        <w:pStyle w:val="BodyText"/>
        <w:numPr>
          <w:ilvl w:val="0"/>
          <w:numId w:val="1"/>
        </w:numPr>
        <w:tabs>
          <w:tab w:val="clear" w:pos="1134"/>
          <w:tab w:val="left" w:pos="814" w:leader="none"/>
        </w:tabs>
        <w:bidi w:val="0"/>
        <w:spacing w:before="105" w:after="0"/>
        <w:ind w:hanging="283" w:start="814" w:end="105"/>
        <w:jc w:val="start"/>
        <w:rPr/>
      </w:pPr>
      <w:r>
        <w:rPr/>
        <w:t xml:space="preserve">S.1, S.2, S.3 and S.5 completed End-of-Term-II examinations. </w:t>
      </w:r>
    </w:p>
    <w:p>
      <w:pPr>
        <w:pStyle w:val="BodyText"/>
        <w:numPr>
          <w:ilvl w:val="0"/>
          <w:numId w:val="1"/>
        </w:numPr>
        <w:tabs>
          <w:tab w:val="clear" w:pos="1134"/>
          <w:tab w:val="left" w:pos="814" w:leader="none"/>
        </w:tabs>
        <w:bidi w:val="0"/>
        <w:spacing w:before="105" w:after="0"/>
        <w:ind w:hanging="283" w:start="814" w:end="105"/>
        <w:jc w:val="start"/>
        <w:rPr/>
      </w:pPr>
      <w:r>
        <w:rPr/>
        <w:t xml:space="preserve">S.4 and S.6 completed District Mock examinations. </w:t>
      </w:r>
    </w:p>
    <w:p>
      <w:pPr>
        <w:pStyle w:val="BodyText"/>
        <w:numPr>
          <w:ilvl w:val="0"/>
          <w:numId w:val="1"/>
        </w:numPr>
        <w:tabs>
          <w:tab w:val="clear" w:pos="1134"/>
          <w:tab w:val="left" w:pos="814" w:leader="none"/>
        </w:tabs>
        <w:bidi w:val="0"/>
        <w:spacing w:before="105" w:after="0"/>
        <w:ind w:hanging="283" w:start="814" w:end="105"/>
        <w:jc w:val="start"/>
        <w:rPr/>
      </w:pPr>
      <w:r>
        <w:rPr/>
        <w:t xml:space="preserve">Academic bursaries are still offered, and admissions remain available in S.1, S.2, S.3 and S.5. </w:t>
      </w:r>
    </w:p>
    <w:p>
      <w:pPr>
        <w:pStyle w:val="BodyText"/>
        <w:numPr>
          <w:ilvl w:val="0"/>
          <w:numId w:val="1"/>
        </w:numPr>
        <w:tabs>
          <w:tab w:val="clear" w:pos="1134"/>
          <w:tab w:val="left" w:pos="814" w:leader="none"/>
        </w:tabs>
        <w:bidi w:val="0"/>
        <w:ind w:hanging="283" w:start="814" w:end="105"/>
        <w:jc w:val="start"/>
        <w:rPr/>
      </w:pPr>
      <w:r>
        <w:rPr/>
        <w:t xml:space="preserve">Workbooks for different subjects are available at school. Parents may contact the teachers concerned to purchase workbooks for their children. </w:t>
      </w:r>
    </w:p>
    <w:p>
      <w:pPr>
        <w:pStyle w:val="BodyText"/>
        <w:bidi w:val="0"/>
        <w:spacing w:before="105" w:after="105"/>
        <w:ind w:start="105" w:end="105"/>
        <w:jc w:val="start"/>
        <w:rPr/>
      </w:pPr>
      <w:r>
        <w:rPr/>
        <w:t>The school held a thanksgiving for strong UCE and UACE performance on 11 August 2026. The Bishop of South Ankole Diocese, Rt. Rev. Bishop Nathan Ahimbisibwe, officiated at the ceremony.</w:t>
      </w:r>
    </w:p>
    <w:p>
      <w:pPr>
        <w:pStyle w:val="Heading2"/>
        <w:keepNext w:val="true"/>
        <w:numPr>
          <w:ilvl w:val="0"/>
          <w:numId w:val="0"/>
        </w:numPr>
        <w:bidi w:val="0"/>
        <w:spacing w:before="270" w:after="120"/>
        <w:ind w:hanging="0" w:start="270" w:end="270"/>
        <w:jc w:val="start"/>
        <w:rPr/>
      </w:pPr>
      <w:r>
        <w:rPr/>
        <w:t>3. Requirements</w:t>
      </w:r>
    </w:p>
    <w:p>
      <w:pPr>
        <w:pStyle w:val="BodyText"/>
        <w:numPr>
          <w:ilvl w:val="0"/>
          <w:numId w:val="2"/>
        </w:numPr>
        <w:tabs>
          <w:tab w:val="clear" w:pos="1134"/>
          <w:tab w:val="left" w:pos="814" w:leader="none"/>
        </w:tabs>
        <w:bidi w:val="0"/>
        <w:spacing w:before="105" w:after="0"/>
        <w:ind w:hanging="283" w:start="814" w:end="105"/>
        <w:jc w:val="start"/>
        <w:rPr/>
      </w:pPr>
      <w:r>
        <w:rPr/>
        <w:t xml:space="preserve">S.1, S.2, S.3 and S.5 students who did not bring a ream of ROTATRIM paper should do so. </w:t>
      </w:r>
    </w:p>
    <w:p>
      <w:pPr>
        <w:pStyle w:val="BodyText"/>
        <w:numPr>
          <w:ilvl w:val="0"/>
          <w:numId w:val="2"/>
        </w:numPr>
        <w:tabs>
          <w:tab w:val="clear" w:pos="1134"/>
          <w:tab w:val="left" w:pos="814" w:leader="none"/>
        </w:tabs>
        <w:bidi w:val="0"/>
        <w:spacing w:before="105" w:after="0"/>
        <w:ind w:hanging="283" w:start="814" w:end="105"/>
        <w:jc w:val="start"/>
        <w:rPr/>
      </w:pPr>
      <w:r>
        <w:rPr/>
        <w:t xml:space="preserve">S.4 and S.6 students should bring PICFARE ruled paper. </w:t>
      </w:r>
    </w:p>
    <w:p>
      <w:pPr>
        <w:pStyle w:val="BodyText"/>
        <w:numPr>
          <w:ilvl w:val="0"/>
          <w:numId w:val="2"/>
        </w:numPr>
        <w:tabs>
          <w:tab w:val="clear" w:pos="1134"/>
          <w:tab w:val="left" w:pos="814" w:leader="none"/>
        </w:tabs>
        <w:bidi w:val="0"/>
        <w:spacing w:before="105" w:after="0"/>
        <w:ind w:hanging="283" w:start="814" w:end="105"/>
        <w:jc w:val="start"/>
        <w:rPr/>
      </w:pPr>
      <w:r>
        <w:rPr/>
        <w:t xml:space="preserve">No cash is allowed at school. </w:t>
      </w:r>
    </w:p>
    <w:p>
      <w:pPr>
        <w:pStyle w:val="BodyText"/>
        <w:numPr>
          <w:ilvl w:val="0"/>
          <w:numId w:val="2"/>
        </w:numPr>
        <w:tabs>
          <w:tab w:val="clear" w:pos="1134"/>
          <w:tab w:val="left" w:pos="814" w:leader="none"/>
        </w:tabs>
        <w:bidi w:val="0"/>
        <w:spacing w:before="105" w:after="0"/>
        <w:ind w:hanging="283" w:start="814" w:end="105"/>
        <w:jc w:val="start"/>
        <w:rPr/>
      </w:pPr>
      <w:r>
        <w:rPr/>
        <w:t xml:space="preserve">Students should bring a 2.5-inch mattress that fits on the school beds. </w:t>
      </w:r>
    </w:p>
    <w:p>
      <w:pPr>
        <w:pStyle w:val="BodyText"/>
        <w:numPr>
          <w:ilvl w:val="0"/>
          <w:numId w:val="2"/>
        </w:numPr>
        <w:tabs>
          <w:tab w:val="clear" w:pos="1134"/>
          <w:tab w:val="left" w:pos="814" w:leader="none"/>
        </w:tabs>
        <w:bidi w:val="0"/>
        <w:ind w:hanging="283" w:start="814" w:end="105"/>
        <w:jc w:val="start"/>
        <w:rPr/>
      </w:pPr>
      <w:r>
        <w:rPr/>
        <w:t xml:space="preserve">Visitors should come with a visitor's card when visiting the school. </w:t>
      </w:r>
    </w:p>
    <w:p>
      <w:pPr>
        <w:pStyle w:val="BodyText"/>
        <w:bidi w:val="0"/>
        <w:spacing w:before="105" w:after="105"/>
        <w:ind w:start="105" w:end="105"/>
        <w:jc w:val="start"/>
        <w:rPr/>
      </w:pPr>
      <w:r>
        <w:rPr/>
        <w:t>The Annual General Meeting held on 1 November 2025 resolved that each student should pay UGX 25,000 for the school magazine and UGX 10,000 for the school calendar.</w:t>
      </w:r>
    </w:p>
    <w:p>
      <w:pPr>
        <w:pStyle w:val="Heading2"/>
        <w:keepNext w:val="true"/>
        <w:numPr>
          <w:ilvl w:val="0"/>
          <w:numId w:val="0"/>
        </w:numPr>
        <w:bidi w:val="0"/>
        <w:spacing w:before="270" w:after="120"/>
        <w:ind w:hanging="0" w:start="270" w:end="270"/>
        <w:jc w:val="start"/>
        <w:rPr/>
      </w:pPr>
      <w:r>
        <w:rPr/>
        <w:t>4. Academic Meetings</w:t>
      </w:r>
    </w:p>
    <w:p>
      <w:pPr>
        <w:pStyle w:val="BodyText"/>
        <w:bidi w:val="0"/>
        <w:spacing w:before="105" w:after="105"/>
        <w:ind w:start="105" w:end="105"/>
        <w:jc w:val="start"/>
        <w:rPr/>
      </w:pPr>
      <w:r>
        <w:rPr>
          <w:rStyle w:val="Strong"/>
        </w:rPr>
        <w:t>S.1 and S.2 Career's Day:</w:t>
      </w:r>
      <w:r>
        <w:rPr/>
        <w:t xml:space="preserve"> Saturday 26 September 2026. Parents and guardians are requested to attend so the school and families can plan and advise learners together.</w:t>
      </w:r>
    </w:p>
    <w:p>
      <w:pPr>
        <w:pStyle w:val="BodyText"/>
        <w:bidi w:val="0"/>
        <w:spacing w:before="105" w:after="105"/>
        <w:ind w:start="105" w:end="105"/>
        <w:jc w:val="start"/>
        <w:rPr/>
      </w:pPr>
      <w:r>
        <w:rPr>
          <w:rStyle w:val="Strong"/>
        </w:rPr>
        <w:t>Visiting Day:</w:t>
      </w:r>
      <w:r>
        <w:rPr/>
        <w:t xml:space="preserve"> Saturday 10 October 2026.</w:t>
      </w:r>
    </w:p>
    <w:p>
      <w:pPr>
        <w:pStyle w:val="Heading2"/>
        <w:keepNext w:val="true"/>
        <w:numPr>
          <w:ilvl w:val="0"/>
          <w:numId w:val="0"/>
        </w:numPr>
        <w:bidi w:val="0"/>
        <w:spacing w:before="270" w:after="120"/>
        <w:ind w:hanging="0" w:start="270" w:end="270"/>
        <w:jc w:val="start"/>
        <w:rPr/>
      </w:pPr>
      <w:r>
        <w:rPr/>
        <w:t>5. Co-curricular Activities</w:t>
      </w:r>
    </w:p>
    <w:p>
      <w:pPr>
        <w:pStyle w:val="BodyText"/>
        <w:bidi w:val="0"/>
        <w:spacing w:before="105" w:after="105"/>
        <w:ind w:start="105" w:end="105"/>
        <w:jc w:val="start"/>
        <w:rPr/>
      </w:pPr>
      <w:r>
        <w:rPr/>
        <w:t>The boys' school football team participated in Ball Games II at District level, emerged third and qualified for the Ankole Zonal Games in Ibanda District. The girls participated up to District level.</w:t>
      </w:r>
    </w:p>
    <w:p>
      <w:pPr>
        <w:pStyle w:val="Heading2"/>
        <w:keepNext w:val="true"/>
        <w:numPr>
          <w:ilvl w:val="0"/>
          <w:numId w:val="0"/>
        </w:numPr>
        <w:bidi w:val="0"/>
        <w:spacing w:before="270" w:after="120"/>
        <w:ind w:hanging="0" w:start="270" w:end="270"/>
        <w:jc w:val="start"/>
        <w:rPr/>
      </w:pPr>
      <w:r>
        <w:rPr/>
        <w:t>6. Welfare</w:t>
      </w:r>
    </w:p>
    <w:p>
      <w:pPr>
        <w:pStyle w:val="BodyText"/>
        <w:bidi w:val="0"/>
        <w:spacing w:before="105" w:after="105"/>
        <w:ind w:start="105" w:end="105"/>
        <w:jc w:val="start"/>
        <w:rPr/>
      </w:pPr>
      <w:r>
        <w:rPr/>
        <w:t>Meals consist mainly of posho and beans. Matooke is sometimes served when there is enough from the plantations. Greens from learners' projects are also used in meals.</w:t>
      </w:r>
    </w:p>
    <w:p>
      <w:pPr>
        <w:pStyle w:val="Heading2"/>
        <w:keepNext w:val="true"/>
        <w:numPr>
          <w:ilvl w:val="0"/>
          <w:numId w:val="0"/>
        </w:numPr>
        <w:bidi w:val="0"/>
        <w:spacing w:before="270" w:after="120"/>
        <w:ind w:hanging="0" w:start="270" w:end="270"/>
        <w:jc w:val="start"/>
        <w:rPr/>
      </w:pPr>
      <w:r>
        <w:rPr/>
        <w:t>7. Discipline</w:t>
      </w:r>
    </w:p>
    <w:p>
      <w:pPr>
        <w:pStyle w:val="BodyText"/>
        <w:bidi w:val="0"/>
        <w:spacing w:before="105" w:after="105"/>
        <w:ind w:start="105" w:end="105"/>
        <w:jc w:val="start"/>
        <w:rPr/>
      </w:pPr>
      <w:r>
        <w:rPr/>
        <w:t>Overall discipline remains satisfactory. A small number of cases were noted, including dodging lessons, absenteeism, theft, escapism and destruction of school property.</w:t>
      </w:r>
    </w:p>
    <w:p>
      <w:pPr>
        <w:pStyle w:val="BodyText"/>
        <w:bidi w:val="0"/>
        <w:spacing w:before="105" w:after="105"/>
        <w:ind w:start="105" w:end="105"/>
        <w:jc w:val="start"/>
        <w:rPr/>
      </w:pPr>
      <w:r>
        <w:rPr/>
        <w:t>Students with academic challenges are to collect their reports on Tuesday 25 August 2026 and should be accompanied by their parents for guidance and counselling.</w:t>
      </w:r>
    </w:p>
    <w:p>
      <w:pPr>
        <w:pStyle w:val="Heading2"/>
        <w:keepNext w:val="true"/>
        <w:numPr>
          <w:ilvl w:val="0"/>
          <w:numId w:val="0"/>
        </w:numPr>
        <w:bidi w:val="0"/>
        <w:spacing w:before="270" w:after="120"/>
        <w:ind w:hanging="0" w:start="270" w:end="270"/>
        <w:jc w:val="start"/>
        <w:rPr/>
      </w:pPr>
      <w:r>
        <w:rPr/>
        <w:t>8. School Development</w:t>
      </w:r>
    </w:p>
    <w:p>
      <w:pPr>
        <w:pStyle w:val="BodyText"/>
        <w:numPr>
          <w:ilvl w:val="0"/>
          <w:numId w:val="3"/>
        </w:numPr>
        <w:tabs>
          <w:tab w:val="clear" w:pos="1134"/>
          <w:tab w:val="left" w:pos="814" w:leader="none"/>
        </w:tabs>
        <w:bidi w:val="0"/>
        <w:spacing w:before="105" w:after="0"/>
        <w:ind w:hanging="283" w:start="814" w:end="105"/>
        <w:jc w:val="start"/>
        <w:rPr/>
      </w:pPr>
      <w:r>
        <w:rPr/>
        <w:t xml:space="preserve">The school water project is complete. </w:t>
      </w:r>
    </w:p>
    <w:p>
      <w:pPr>
        <w:pStyle w:val="BodyText"/>
        <w:numPr>
          <w:ilvl w:val="0"/>
          <w:numId w:val="3"/>
        </w:numPr>
        <w:tabs>
          <w:tab w:val="clear" w:pos="1134"/>
          <w:tab w:val="left" w:pos="814" w:leader="none"/>
        </w:tabs>
        <w:bidi w:val="0"/>
        <w:spacing w:before="105" w:after="0"/>
        <w:ind w:hanging="283" w:start="814" w:end="105"/>
        <w:jc w:val="start"/>
        <w:rPr/>
      </w:pPr>
      <w:r>
        <w:rPr/>
        <w:t xml:space="preserve">Junior Staff Quarters (JSQ I) are complete. </w:t>
      </w:r>
    </w:p>
    <w:p>
      <w:pPr>
        <w:pStyle w:val="BodyText"/>
        <w:numPr>
          <w:ilvl w:val="0"/>
          <w:numId w:val="3"/>
        </w:numPr>
        <w:tabs>
          <w:tab w:val="clear" w:pos="1134"/>
          <w:tab w:val="left" w:pos="814" w:leader="none"/>
        </w:tabs>
        <w:bidi w:val="0"/>
        <w:spacing w:before="105" w:after="0"/>
        <w:ind w:hanging="283" w:start="814" w:end="105"/>
        <w:jc w:val="start"/>
        <w:rPr/>
      </w:pPr>
      <w:r>
        <w:rPr/>
        <w:t xml:space="preserve">The school has launched construction of a three-storeyed girls' dormitory to improve accommodation for girls. </w:t>
      </w:r>
    </w:p>
    <w:p>
      <w:pPr>
        <w:pStyle w:val="BodyText"/>
        <w:numPr>
          <w:ilvl w:val="0"/>
          <w:numId w:val="3"/>
        </w:numPr>
        <w:tabs>
          <w:tab w:val="clear" w:pos="1134"/>
          <w:tab w:val="left" w:pos="814" w:leader="none"/>
        </w:tabs>
        <w:bidi w:val="0"/>
        <w:spacing w:before="105" w:after="0"/>
        <w:ind w:hanging="283" w:start="814" w:end="105"/>
        <w:jc w:val="start"/>
        <w:rPr/>
      </w:pPr>
      <w:r>
        <w:rPr/>
        <w:t xml:space="preserve">Rt. Rev. Bishop Nathan Ahimbisibwe launched the girls' dormitory project on 11 August 2026. </w:t>
      </w:r>
    </w:p>
    <w:p>
      <w:pPr>
        <w:pStyle w:val="BodyText"/>
        <w:numPr>
          <w:ilvl w:val="0"/>
          <w:numId w:val="3"/>
        </w:numPr>
        <w:tabs>
          <w:tab w:val="clear" w:pos="1134"/>
          <w:tab w:val="left" w:pos="814" w:leader="none"/>
        </w:tabs>
        <w:bidi w:val="0"/>
        <w:ind w:hanging="283" w:start="814" w:end="105"/>
        <w:jc w:val="start"/>
        <w:rPr/>
      </w:pPr>
      <w:r>
        <w:rPr/>
        <w:t xml:space="preserve">The school requests support for the girls' dormitory project. </w:t>
      </w:r>
    </w:p>
    <w:p>
      <w:pPr>
        <w:pStyle w:val="Heading2"/>
        <w:keepNext w:val="true"/>
        <w:numPr>
          <w:ilvl w:val="0"/>
          <w:numId w:val="0"/>
        </w:numPr>
        <w:bidi w:val="0"/>
        <w:spacing w:before="270" w:after="120"/>
        <w:ind w:hanging="0" w:start="270" w:end="270"/>
        <w:jc w:val="start"/>
        <w:rPr/>
      </w:pPr>
      <w:r>
        <w:rPr/>
        <w:t>9. Term III 2026 School Fees</w:t>
      </w:r>
    </w:p>
    <w:tbl>
      <w:tblPr>
        <w:tblW w:w="5000" w:type="pct"/>
        <w:jc w:val="start"/>
        <w:tblInd w:w="0" w:type="dxa"/>
        <w:tblLayout w:type="fixed"/>
        <w:tblCellMar>
          <w:top w:w="28" w:type="dxa"/>
          <w:start w:w="28" w:type="dxa"/>
          <w:bottom w:w="28" w:type="dxa"/>
          <w:end w:w="28" w:type="dxa"/>
        </w:tblCellMar>
      </w:tblPr>
      <w:tblGrid>
        <w:gridCol w:w="2991"/>
        <w:gridCol w:w="3492"/>
        <w:gridCol w:w="3495"/>
      </w:tblGrid>
      <w:tr>
        <w:trPr>
          <w:tblHeader w:val="true"/>
        </w:trPr>
        <w:tc>
          <w:tcPr>
            <w:tcW w:w="2991" w:type="dxa"/>
            <w:tcBorders/>
            <w:vAlign w:val="center"/>
          </w:tcPr>
          <w:p>
            <w:pPr>
              <w:pStyle w:val="TableHeading"/>
              <w:suppressLineNumbers/>
              <w:bidi w:val="0"/>
              <w:spacing w:before="105" w:after="105"/>
              <w:jc w:val="center"/>
              <w:rPr/>
            </w:pPr>
            <w:r>
              <w:rPr/>
              <w:t>Class</w:t>
            </w:r>
          </w:p>
        </w:tc>
        <w:tc>
          <w:tcPr>
            <w:tcW w:w="3492" w:type="dxa"/>
            <w:tcBorders/>
            <w:vAlign w:val="center"/>
          </w:tcPr>
          <w:p>
            <w:pPr>
              <w:pStyle w:val="TableHeading"/>
              <w:suppressLineNumbers/>
              <w:bidi w:val="0"/>
              <w:spacing w:before="105" w:after="105"/>
              <w:jc w:val="center"/>
              <w:rPr/>
            </w:pPr>
            <w:r>
              <w:rPr/>
              <w:t>Day</w:t>
            </w:r>
          </w:p>
        </w:tc>
        <w:tc>
          <w:tcPr>
            <w:tcW w:w="3495" w:type="dxa"/>
            <w:tcBorders/>
            <w:vAlign w:val="center"/>
          </w:tcPr>
          <w:p>
            <w:pPr>
              <w:pStyle w:val="TableHeading"/>
              <w:suppressLineNumbers/>
              <w:bidi w:val="0"/>
              <w:spacing w:before="105" w:after="105"/>
              <w:jc w:val="center"/>
              <w:rPr/>
            </w:pPr>
            <w:r>
              <w:rPr/>
              <w:t>Boarding</w:t>
            </w:r>
          </w:p>
        </w:tc>
      </w:tr>
      <w:tr>
        <w:trPr/>
        <w:tc>
          <w:tcPr>
            <w:tcW w:w="2991" w:type="dxa"/>
            <w:tcBorders/>
            <w:vAlign w:val="center"/>
          </w:tcPr>
          <w:p>
            <w:pPr>
              <w:pStyle w:val="TableContents"/>
              <w:bidi w:val="0"/>
              <w:spacing w:before="105" w:after="105"/>
              <w:jc w:val="start"/>
              <w:rPr/>
            </w:pPr>
            <w:r>
              <w:rPr/>
              <w:t>S.1</w:t>
            </w:r>
          </w:p>
        </w:tc>
        <w:tc>
          <w:tcPr>
            <w:tcW w:w="3492" w:type="dxa"/>
            <w:tcBorders/>
            <w:vAlign w:val="center"/>
          </w:tcPr>
          <w:p>
            <w:pPr>
              <w:pStyle w:val="TableContents"/>
              <w:bidi w:val="0"/>
              <w:spacing w:before="105" w:after="105"/>
              <w:jc w:val="start"/>
              <w:rPr/>
            </w:pPr>
            <w:r>
              <w:rPr/>
              <w:t>UGX 291,000</w:t>
            </w:r>
          </w:p>
        </w:tc>
        <w:tc>
          <w:tcPr>
            <w:tcW w:w="3495" w:type="dxa"/>
            <w:tcBorders/>
            <w:vAlign w:val="center"/>
          </w:tcPr>
          <w:p>
            <w:pPr>
              <w:pStyle w:val="TableContents"/>
              <w:bidi w:val="0"/>
              <w:spacing w:before="105" w:after="105"/>
              <w:jc w:val="start"/>
              <w:rPr/>
            </w:pPr>
            <w:r>
              <w:rPr/>
              <w:t>UGX 434,000</w:t>
            </w:r>
          </w:p>
        </w:tc>
      </w:tr>
      <w:tr>
        <w:trPr/>
        <w:tc>
          <w:tcPr>
            <w:tcW w:w="2991" w:type="dxa"/>
            <w:tcBorders/>
            <w:vAlign w:val="center"/>
          </w:tcPr>
          <w:p>
            <w:pPr>
              <w:pStyle w:val="TableContents"/>
              <w:bidi w:val="0"/>
              <w:spacing w:before="105" w:after="105"/>
              <w:jc w:val="start"/>
              <w:rPr/>
            </w:pPr>
            <w:r>
              <w:rPr/>
              <w:t>S.2</w:t>
            </w:r>
          </w:p>
        </w:tc>
        <w:tc>
          <w:tcPr>
            <w:tcW w:w="3492" w:type="dxa"/>
            <w:tcBorders/>
            <w:vAlign w:val="center"/>
          </w:tcPr>
          <w:p>
            <w:pPr>
              <w:pStyle w:val="TableContents"/>
              <w:bidi w:val="0"/>
              <w:spacing w:before="105" w:after="105"/>
              <w:jc w:val="start"/>
              <w:rPr/>
            </w:pPr>
            <w:r>
              <w:rPr/>
              <w:t>UGX 291,000</w:t>
            </w:r>
          </w:p>
        </w:tc>
        <w:tc>
          <w:tcPr>
            <w:tcW w:w="3495" w:type="dxa"/>
            <w:tcBorders/>
            <w:vAlign w:val="center"/>
          </w:tcPr>
          <w:p>
            <w:pPr>
              <w:pStyle w:val="TableContents"/>
              <w:bidi w:val="0"/>
              <w:spacing w:before="105" w:after="105"/>
              <w:jc w:val="start"/>
              <w:rPr/>
            </w:pPr>
            <w:r>
              <w:rPr/>
              <w:t>UGX 434,000</w:t>
            </w:r>
          </w:p>
        </w:tc>
      </w:tr>
      <w:tr>
        <w:trPr/>
        <w:tc>
          <w:tcPr>
            <w:tcW w:w="2991" w:type="dxa"/>
            <w:tcBorders/>
            <w:vAlign w:val="center"/>
          </w:tcPr>
          <w:p>
            <w:pPr>
              <w:pStyle w:val="TableContents"/>
              <w:bidi w:val="0"/>
              <w:spacing w:before="105" w:after="105"/>
              <w:jc w:val="start"/>
              <w:rPr/>
            </w:pPr>
            <w:r>
              <w:rPr/>
              <w:t>S.3</w:t>
            </w:r>
          </w:p>
        </w:tc>
        <w:tc>
          <w:tcPr>
            <w:tcW w:w="3492" w:type="dxa"/>
            <w:tcBorders/>
            <w:vAlign w:val="center"/>
          </w:tcPr>
          <w:p>
            <w:pPr>
              <w:pStyle w:val="TableContents"/>
              <w:bidi w:val="0"/>
              <w:spacing w:before="105" w:after="105"/>
              <w:jc w:val="start"/>
              <w:rPr/>
            </w:pPr>
            <w:r>
              <w:rPr/>
              <w:t>UGX 291,000</w:t>
            </w:r>
          </w:p>
        </w:tc>
        <w:tc>
          <w:tcPr>
            <w:tcW w:w="3495" w:type="dxa"/>
            <w:tcBorders/>
            <w:vAlign w:val="center"/>
          </w:tcPr>
          <w:p>
            <w:pPr>
              <w:pStyle w:val="TableContents"/>
              <w:bidi w:val="0"/>
              <w:spacing w:before="105" w:after="105"/>
              <w:jc w:val="start"/>
              <w:rPr/>
            </w:pPr>
            <w:r>
              <w:rPr/>
              <w:t>UGX 434,000</w:t>
            </w:r>
          </w:p>
        </w:tc>
      </w:tr>
      <w:tr>
        <w:trPr/>
        <w:tc>
          <w:tcPr>
            <w:tcW w:w="2991" w:type="dxa"/>
            <w:tcBorders/>
            <w:vAlign w:val="center"/>
          </w:tcPr>
          <w:p>
            <w:pPr>
              <w:pStyle w:val="TableContents"/>
              <w:bidi w:val="0"/>
              <w:spacing w:before="105" w:after="105"/>
              <w:jc w:val="start"/>
              <w:rPr/>
            </w:pPr>
            <w:r>
              <w:rPr/>
              <w:t>S.4</w:t>
            </w:r>
          </w:p>
        </w:tc>
        <w:tc>
          <w:tcPr>
            <w:tcW w:w="3492" w:type="dxa"/>
            <w:tcBorders/>
            <w:vAlign w:val="center"/>
          </w:tcPr>
          <w:p>
            <w:pPr>
              <w:pStyle w:val="TableContents"/>
              <w:bidi w:val="0"/>
              <w:spacing w:before="105" w:after="105"/>
              <w:jc w:val="start"/>
              <w:rPr/>
            </w:pPr>
            <w:r>
              <w:rPr/>
              <w:t>UGX 298,000</w:t>
            </w:r>
          </w:p>
        </w:tc>
        <w:tc>
          <w:tcPr>
            <w:tcW w:w="3495" w:type="dxa"/>
            <w:tcBorders/>
            <w:vAlign w:val="center"/>
          </w:tcPr>
          <w:p>
            <w:pPr>
              <w:pStyle w:val="TableContents"/>
              <w:bidi w:val="0"/>
              <w:spacing w:before="105" w:after="105"/>
              <w:jc w:val="start"/>
              <w:rPr/>
            </w:pPr>
            <w:r>
              <w:rPr/>
              <w:t>UGX 441,000</w:t>
            </w:r>
          </w:p>
        </w:tc>
      </w:tr>
      <w:tr>
        <w:trPr/>
        <w:tc>
          <w:tcPr>
            <w:tcW w:w="2991" w:type="dxa"/>
            <w:tcBorders/>
            <w:vAlign w:val="center"/>
          </w:tcPr>
          <w:p>
            <w:pPr>
              <w:pStyle w:val="TableContents"/>
              <w:bidi w:val="0"/>
              <w:spacing w:before="105" w:after="105"/>
              <w:jc w:val="start"/>
              <w:rPr/>
            </w:pPr>
            <w:r>
              <w:rPr/>
              <w:t>S.5</w:t>
            </w:r>
          </w:p>
        </w:tc>
        <w:tc>
          <w:tcPr>
            <w:tcW w:w="3492" w:type="dxa"/>
            <w:tcBorders/>
            <w:vAlign w:val="center"/>
          </w:tcPr>
          <w:p>
            <w:pPr>
              <w:pStyle w:val="TableContents"/>
              <w:bidi w:val="0"/>
              <w:spacing w:before="105" w:after="105"/>
              <w:jc w:val="start"/>
              <w:rPr/>
            </w:pPr>
            <w:r>
              <w:rPr/>
              <w:t>UGX 325,000</w:t>
            </w:r>
          </w:p>
        </w:tc>
        <w:tc>
          <w:tcPr>
            <w:tcW w:w="3495" w:type="dxa"/>
            <w:tcBorders/>
            <w:vAlign w:val="center"/>
          </w:tcPr>
          <w:p>
            <w:pPr>
              <w:pStyle w:val="TableContents"/>
              <w:bidi w:val="0"/>
              <w:spacing w:before="105" w:after="105"/>
              <w:jc w:val="start"/>
              <w:rPr/>
            </w:pPr>
            <w:r>
              <w:rPr/>
              <w:t>UGX 468,000</w:t>
            </w:r>
          </w:p>
        </w:tc>
      </w:tr>
      <w:tr>
        <w:trPr/>
        <w:tc>
          <w:tcPr>
            <w:tcW w:w="2991" w:type="dxa"/>
            <w:tcBorders/>
            <w:vAlign w:val="center"/>
          </w:tcPr>
          <w:p>
            <w:pPr>
              <w:pStyle w:val="TableContents"/>
              <w:bidi w:val="0"/>
              <w:spacing w:before="105" w:after="105"/>
              <w:jc w:val="start"/>
              <w:rPr/>
            </w:pPr>
            <w:r>
              <w:rPr/>
              <w:t>S.6</w:t>
            </w:r>
          </w:p>
        </w:tc>
        <w:tc>
          <w:tcPr>
            <w:tcW w:w="3492" w:type="dxa"/>
            <w:tcBorders/>
            <w:vAlign w:val="center"/>
          </w:tcPr>
          <w:p>
            <w:pPr>
              <w:pStyle w:val="TableContents"/>
              <w:bidi w:val="0"/>
              <w:spacing w:before="105" w:after="105"/>
              <w:jc w:val="start"/>
              <w:rPr/>
            </w:pPr>
            <w:r>
              <w:rPr/>
              <w:t>UGX 325,000</w:t>
            </w:r>
          </w:p>
        </w:tc>
        <w:tc>
          <w:tcPr>
            <w:tcW w:w="3495" w:type="dxa"/>
            <w:tcBorders/>
            <w:vAlign w:val="center"/>
          </w:tcPr>
          <w:p>
            <w:pPr>
              <w:pStyle w:val="TableContents"/>
              <w:bidi w:val="0"/>
              <w:spacing w:before="105" w:after="105"/>
              <w:jc w:val="start"/>
              <w:rPr/>
            </w:pPr>
            <w:r>
              <w:rPr/>
              <w:t>UGX 468,000</w:t>
            </w:r>
          </w:p>
        </w:tc>
      </w:tr>
    </w:tbl>
    <w:p>
      <w:pPr>
        <w:pStyle w:val="BodyText"/>
        <w:bidi w:val="0"/>
        <w:spacing w:before="105" w:after="105"/>
        <w:ind w:start="105" w:end="105"/>
        <w:jc w:val="start"/>
        <w:rPr/>
      </w:pPr>
      <w:r>
        <w:rPr/>
        <w:t>Payment is made by phone, authorised mobile-money agent or RUSCA SACCO using MSACCO. Parents and guardians should use the official school fee bill or contact the school for the current payment code.</w:t>
      </w:r>
    </w:p>
    <w:p>
      <w:pPr>
        <w:pStyle w:val="BodyText"/>
        <w:bidi w:val="0"/>
        <w:spacing w:before="105" w:after="105"/>
        <w:ind w:start="105" w:end="105"/>
        <w:jc w:val="start"/>
        <w:rPr/>
      </w:pPr>
      <w:r>
        <w:rPr/>
        <w:t>Parents are required to pay at least half the school fees before bringing children to school.</w:t>
      </w:r>
    </w:p>
    <w:p>
      <w:pPr>
        <w:pStyle w:val="Heading3"/>
        <w:keepNext w:val="true"/>
        <w:numPr>
          <w:ilvl w:val="0"/>
          <w:numId w:val="0"/>
        </w:numPr>
        <w:bidi w:val="0"/>
        <w:spacing w:before="195" w:after="75"/>
        <w:ind w:hanging="0" w:start="195" w:end="195"/>
        <w:jc w:val="start"/>
        <w:rPr/>
      </w:pPr>
      <w:r>
        <w:rPr/>
        <w:t>Additional fees payable at school on reporting day</w:t>
      </w:r>
    </w:p>
    <w:tbl>
      <w:tblPr>
        <w:tblW w:w="5000" w:type="pct"/>
        <w:jc w:val="start"/>
        <w:tblInd w:w="0" w:type="dxa"/>
        <w:tblLayout w:type="fixed"/>
        <w:tblCellMar>
          <w:top w:w="28" w:type="dxa"/>
          <w:start w:w="28" w:type="dxa"/>
          <w:bottom w:w="28" w:type="dxa"/>
          <w:end w:w="28" w:type="dxa"/>
        </w:tblCellMar>
      </w:tblPr>
      <w:tblGrid>
        <w:gridCol w:w="7185"/>
        <w:gridCol w:w="2792"/>
      </w:tblGrid>
      <w:tr>
        <w:trPr>
          <w:tblHeader w:val="true"/>
        </w:trPr>
        <w:tc>
          <w:tcPr>
            <w:tcW w:w="7185" w:type="dxa"/>
            <w:tcBorders/>
            <w:vAlign w:val="center"/>
          </w:tcPr>
          <w:p>
            <w:pPr>
              <w:pStyle w:val="TableHeading"/>
              <w:suppressLineNumbers/>
              <w:bidi w:val="0"/>
              <w:spacing w:before="105" w:after="105"/>
              <w:jc w:val="center"/>
              <w:rPr/>
            </w:pPr>
            <w:r>
              <w:rPr/>
              <w:t>Students / Item</w:t>
            </w:r>
          </w:p>
        </w:tc>
        <w:tc>
          <w:tcPr>
            <w:tcW w:w="2792" w:type="dxa"/>
            <w:tcBorders/>
            <w:vAlign w:val="center"/>
          </w:tcPr>
          <w:p>
            <w:pPr>
              <w:pStyle w:val="TableHeading"/>
              <w:suppressLineNumbers/>
              <w:bidi w:val="0"/>
              <w:spacing w:before="105" w:after="105"/>
              <w:jc w:val="center"/>
              <w:rPr/>
            </w:pPr>
            <w:r>
              <w:rPr/>
              <w:t>Amount</w:t>
            </w:r>
          </w:p>
        </w:tc>
      </w:tr>
      <w:tr>
        <w:trPr/>
        <w:tc>
          <w:tcPr>
            <w:tcW w:w="7185" w:type="dxa"/>
            <w:tcBorders/>
            <w:vAlign w:val="center"/>
          </w:tcPr>
          <w:p>
            <w:pPr>
              <w:pStyle w:val="TableContents"/>
              <w:bidi w:val="0"/>
              <w:spacing w:before="105" w:after="105"/>
              <w:jc w:val="start"/>
              <w:rPr/>
            </w:pPr>
            <w:r>
              <w:rPr/>
              <w:t>S.6, S.5 and S.4 — remedial lessons</w:t>
            </w:r>
          </w:p>
        </w:tc>
        <w:tc>
          <w:tcPr>
            <w:tcW w:w="2792" w:type="dxa"/>
            <w:tcBorders/>
            <w:vAlign w:val="center"/>
          </w:tcPr>
          <w:p>
            <w:pPr>
              <w:pStyle w:val="TableContents"/>
              <w:bidi w:val="0"/>
              <w:spacing w:before="105" w:after="105"/>
              <w:jc w:val="start"/>
              <w:rPr/>
            </w:pPr>
            <w:r>
              <w:rPr/>
              <w:t>UGX 25,000</w:t>
            </w:r>
          </w:p>
        </w:tc>
      </w:tr>
      <w:tr>
        <w:trPr/>
        <w:tc>
          <w:tcPr>
            <w:tcW w:w="7185" w:type="dxa"/>
            <w:tcBorders/>
            <w:vAlign w:val="center"/>
          </w:tcPr>
          <w:p>
            <w:pPr>
              <w:pStyle w:val="TableContents"/>
              <w:bidi w:val="0"/>
              <w:spacing w:before="105" w:after="105"/>
              <w:jc w:val="start"/>
              <w:rPr/>
            </w:pPr>
            <w:r>
              <w:rPr/>
              <w:t>S.3 — remedial lessons</w:t>
            </w:r>
          </w:p>
        </w:tc>
        <w:tc>
          <w:tcPr>
            <w:tcW w:w="2792" w:type="dxa"/>
            <w:tcBorders/>
            <w:vAlign w:val="center"/>
          </w:tcPr>
          <w:p>
            <w:pPr>
              <w:pStyle w:val="TableContents"/>
              <w:bidi w:val="0"/>
              <w:spacing w:before="105" w:after="105"/>
              <w:jc w:val="start"/>
              <w:rPr/>
            </w:pPr>
            <w:r>
              <w:rPr/>
              <w:t>UGX 20,000</w:t>
            </w:r>
          </w:p>
        </w:tc>
      </w:tr>
      <w:tr>
        <w:trPr/>
        <w:tc>
          <w:tcPr>
            <w:tcW w:w="7185" w:type="dxa"/>
            <w:tcBorders/>
            <w:vAlign w:val="center"/>
          </w:tcPr>
          <w:p>
            <w:pPr>
              <w:pStyle w:val="TableContents"/>
              <w:bidi w:val="0"/>
              <w:spacing w:before="105" w:after="105"/>
              <w:jc w:val="start"/>
              <w:rPr/>
            </w:pPr>
            <w:r>
              <w:rPr/>
              <w:t>Every student — computer maintenance</w:t>
            </w:r>
          </w:p>
        </w:tc>
        <w:tc>
          <w:tcPr>
            <w:tcW w:w="2792" w:type="dxa"/>
            <w:tcBorders/>
            <w:vAlign w:val="center"/>
          </w:tcPr>
          <w:p>
            <w:pPr>
              <w:pStyle w:val="TableContents"/>
              <w:bidi w:val="0"/>
              <w:spacing w:before="105" w:after="105"/>
              <w:jc w:val="start"/>
              <w:rPr/>
            </w:pPr>
            <w:r>
              <w:rPr/>
              <w:t>UGX 10,000</w:t>
            </w:r>
          </w:p>
        </w:tc>
      </w:tr>
      <w:tr>
        <w:trPr/>
        <w:tc>
          <w:tcPr>
            <w:tcW w:w="7185" w:type="dxa"/>
            <w:tcBorders/>
            <w:vAlign w:val="center"/>
          </w:tcPr>
          <w:p>
            <w:pPr>
              <w:pStyle w:val="TableContents"/>
              <w:bidi w:val="0"/>
              <w:spacing w:before="105" w:after="105"/>
              <w:jc w:val="start"/>
              <w:rPr/>
            </w:pPr>
            <w:r>
              <w:rPr/>
              <w:t>S.3 and S.5 — South Ankole Diocese promotional examinations</w:t>
            </w:r>
          </w:p>
        </w:tc>
        <w:tc>
          <w:tcPr>
            <w:tcW w:w="2792" w:type="dxa"/>
            <w:tcBorders/>
            <w:vAlign w:val="center"/>
          </w:tcPr>
          <w:p>
            <w:pPr>
              <w:pStyle w:val="TableContents"/>
              <w:bidi w:val="0"/>
              <w:spacing w:before="105" w:after="105"/>
              <w:jc w:val="start"/>
              <w:rPr/>
            </w:pPr>
            <w:r>
              <w:rPr/>
              <w:t>UGX 35,000</w:t>
            </w:r>
          </w:p>
        </w:tc>
      </w:tr>
    </w:tbl>
    <w:p>
      <w:pPr>
        <w:pStyle w:val="Heading2"/>
        <w:keepNext w:val="true"/>
        <w:numPr>
          <w:ilvl w:val="0"/>
          <w:numId w:val="0"/>
        </w:numPr>
        <w:bidi w:val="0"/>
        <w:spacing w:before="270" w:after="120"/>
        <w:ind w:hanging="0" w:start="270" w:end="270"/>
        <w:jc w:val="start"/>
        <w:rPr/>
      </w:pPr>
      <w:r>
        <w:rPr/>
        <w:t>10. Term III 2026 Programme</w:t>
      </w:r>
    </w:p>
    <w:tbl>
      <w:tblPr>
        <w:tblW w:w="5000" w:type="pct"/>
        <w:jc w:val="start"/>
        <w:tblInd w:w="0" w:type="dxa"/>
        <w:tblLayout w:type="fixed"/>
        <w:tblCellMar>
          <w:top w:w="28" w:type="dxa"/>
          <w:start w:w="28" w:type="dxa"/>
          <w:bottom w:w="28" w:type="dxa"/>
          <w:end w:w="28" w:type="dxa"/>
        </w:tblCellMar>
      </w:tblPr>
      <w:tblGrid>
        <w:gridCol w:w="5786"/>
        <w:gridCol w:w="4191"/>
      </w:tblGrid>
      <w:tr>
        <w:trPr>
          <w:tblHeader w:val="true"/>
        </w:trPr>
        <w:tc>
          <w:tcPr>
            <w:tcW w:w="5786" w:type="dxa"/>
            <w:tcBorders/>
            <w:vAlign w:val="center"/>
          </w:tcPr>
          <w:p>
            <w:pPr>
              <w:pStyle w:val="TableHeading"/>
              <w:suppressLineNumbers/>
              <w:bidi w:val="0"/>
              <w:spacing w:before="105" w:after="105"/>
              <w:jc w:val="center"/>
              <w:rPr/>
            </w:pPr>
            <w:r>
              <w:rPr/>
              <w:t>Programme item</w:t>
            </w:r>
          </w:p>
        </w:tc>
        <w:tc>
          <w:tcPr>
            <w:tcW w:w="4191" w:type="dxa"/>
            <w:tcBorders/>
            <w:vAlign w:val="center"/>
          </w:tcPr>
          <w:p>
            <w:pPr>
              <w:pStyle w:val="TableHeading"/>
              <w:suppressLineNumbers/>
              <w:bidi w:val="0"/>
              <w:spacing w:before="105" w:after="105"/>
              <w:jc w:val="center"/>
              <w:rPr/>
            </w:pPr>
            <w:r>
              <w:rPr/>
              <w:t>Date</w:t>
            </w:r>
          </w:p>
        </w:tc>
      </w:tr>
      <w:tr>
        <w:trPr/>
        <w:tc>
          <w:tcPr>
            <w:tcW w:w="5786" w:type="dxa"/>
            <w:tcBorders/>
            <w:vAlign w:val="center"/>
          </w:tcPr>
          <w:p>
            <w:pPr>
              <w:pStyle w:val="TableContents"/>
              <w:bidi w:val="0"/>
              <w:spacing w:before="105" w:after="105"/>
              <w:jc w:val="start"/>
              <w:rPr/>
            </w:pPr>
            <w:r>
              <w:rPr/>
              <w:t>Term III staff meeting</w:t>
            </w:r>
          </w:p>
        </w:tc>
        <w:tc>
          <w:tcPr>
            <w:tcW w:w="4191" w:type="dxa"/>
            <w:tcBorders/>
            <w:vAlign w:val="center"/>
          </w:tcPr>
          <w:p>
            <w:pPr>
              <w:pStyle w:val="TableContents"/>
              <w:bidi w:val="0"/>
              <w:spacing w:before="105" w:after="105"/>
              <w:jc w:val="start"/>
              <w:rPr/>
            </w:pPr>
            <w:r>
              <w:rPr/>
              <w:t>Sunday 13 September 2026</w:t>
            </w:r>
          </w:p>
        </w:tc>
      </w:tr>
      <w:tr>
        <w:trPr/>
        <w:tc>
          <w:tcPr>
            <w:tcW w:w="5786" w:type="dxa"/>
            <w:tcBorders/>
            <w:vAlign w:val="center"/>
          </w:tcPr>
          <w:p>
            <w:pPr>
              <w:pStyle w:val="TableContents"/>
              <w:bidi w:val="0"/>
              <w:spacing w:before="105" w:after="105"/>
              <w:jc w:val="start"/>
              <w:rPr/>
            </w:pPr>
            <w:r>
              <w:rPr/>
              <w:t>Beginning of Term III</w:t>
            </w:r>
          </w:p>
        </w:tc>
        <w:tc>
          <w:tcPr>
            <w:tcW w:w="4191" w:type="dxa"/>
            <w:tcBorders/>
            <w:vAlign w:val="center"/>
          </w:tcPr>
          <w:p>
            <w:pPr>
              <w:pStyle w:val="TableContents"/>
              <w:bidi w:val="0"/>
              <w:spacing w:before="105" w:after="105"/>
              <w:jc w:val="start"/>
              <w:rPr/>
            </w:pPr>
            <w:r>
              <w:rPr/>
              <w:t>Monday 14 September 2026</w:t>
            </w:r>
          </w:p>
        </w:tc>
      </w:tr>
      <w:tr>
        <w:trPr/>
        <w:tc>
          <w:tcPr>
            <w:tcW w:w="5786" w:type="dxa"/>
            <w:tcBorders/>
            <w:vAlign w:val="center"/>
          </w:tcPr>
          <w:p>
            <w:pPr>
              <w:pStyle w:val="TableContents"/>
              <w:bidi w:val="0"/>
              <w:spacing w:before="105" w:after="105"/>
              <w:jc w:val="start"/>
              <w:rPr/>
            </w:pPr>
            <w:r>
              <w:rPr/>
              <w:t>Beginning-of-Term-III examinations</w:t>
            </w:r>
          </w:p>
        </w:tc>
        <w:tc>
          <w:tcPr>
            <w:tcW w:w="4191" w:type="dxa"/>
            <w:tcBorders/>
            <w:vAlign w:val="center"/>
          </w:tcPr>
          <w:p>
            <w:pPr>
              <w:pStyle w:val="TableContents"/>
              <w:bidi w:val="0"/>
              <w:spacing w:before="105" w:after="105"/>
              <w:jc w:val="start"/>
              <w:rPr/>
            </w:pPr>
            <w:r>
              <w:rPr/>
              <w:t>Wednesday 16 September 2026</w:t>
            </w:r>
          </w:p>
        </w:tc>
      </w:tr>
      <w:tr>
        <w:trPr/>
        <w:tc>
          <w:tcPr>
            <w:tcW w:w="5786" w:type="dxa"/>
            <w:tcBorders/>
            <w:vAlign w:val="center"/>
          </w:tcPr>
          <w:p>
            <w:pPr>
              <w:pStyle w:val="TableContents"/>
              <w:bidi w:val="0"/>
              <w:spacing w:before="105" w:after="105"/>
              <w:jc w:val="start"/>
              <w:rPr/>
            </w:pPr>
            <w:r>
              <w:rPr/>
              <w:t>S.6 farewell party</w:t>
            </w:r>
          </w:p>
        </w:tc>
        <w:tc>
          <w:tcPr>
            <w:tcW w:w="4191" w:type="dxa"/>
            <w:tcBorders/>
            <w:vAlign w:val="center"/>
          </w:tcPr>
          <w:p>
            <w:pPr>
              <w:pStyle w:val="TableContents"/>
              <w:bidi w:val="0"/>
              <w:spacing w:before="105" w:after="105"/>
              <w:jc w:val="start"/>
              <w:rPr/>
            </w:pPr>
            <w:r>
              <w:rPr/>
              <w:t>Date not provided</w:t>
            </w:r>
          </w:p>
        </w:tc>
      </w:tr>
      <w:tr>
        <w:trPr/>
        <w:tc>
          <w:tcPr>
            <w:tcW w:w="5786" w:type="dxa"/>
            <w:tcBorders/>
            <w:vAlign w:val="center"/>
          </w:tcPr>
          <w:p>
            <w:pPr>
              <w:pStyle w:val="TableContents"/>
              <w:bidi w:val="0"/>
              <w:spacing w:before="105" w:after="105"/>
              <w:jc w:val="start"/>
              <w:rPr/>
            </w:pPr>
            <w:r>
              <w:rPr/>
              <w:t>S.1 and S.2 Career's Day</w:t>
            </w:r>
          </w:p>
        </w:tc>
        <w:tc>
          <w:tcPr>
            <w:tcW w:w="4191" w:type="dxa"/>
            <w:tcBorders/>
            <w:vAlign w:val="center"/>
          </w:tcPr>
          <w:p>
            <w:pPr>
              <w:pStyle w:val="TableContents"/>
              <w:bidi w:val="0"/>
              <w:spacing w:before="105" w:after="105"/>
              <w:jc w:val="start"/>
              <w:rPr/>
            </w:pPr>
            <w:r>
              <w:rPr/>
              <w:t>Saturday 26 September 2026</w:t>
            </w:r>
          </w:p>
        </w:tc>
      </w:tr>
      <w:tr>
        <w:trPr/>
        <w:tc>
          <w:tcPr>
            <w:tcW w:w="5786" w:type="dxa"/>
            <w:tcBorders/>
            <w:vAlign w:val="center"/>
          </w:tcPr>
          <w:p>
            <w:pPr>
              <w:pStyle w:val="TableContents"/>
              <w:bidi w:val="0"/>
              <w:spacing w:before="105" w:after="105"/>
              <w:jc w:val="start"/>
              <w:rPr/>
            </w:pPr>
            <w:r>
              <w:rPr/>
              <w:t>Dedication of S.4 and S.6</w:t>
            </w:r>
          </w:p>
        </w:tc>
        <w:tc>
          <w:tcPr>
            <w:tcW w:w="4191" w:type="dxa"/>
            <w:tcBorders/>
            <w:vAlign w:val="center"/>
          </w:tcPr>
          <w:p>
            <w:pPr>
              <w:pStyle w:val="TableContents"/>
              <w:bidi w:val="0"/>
              <w:spacing w:before="105" w:after="105"/>
              <w:jc w:val="start"/>
              <w:rPr/>
            </w:pPr>
            <w:r>
              <w:rPr/>
              <w:t>To be communicated</w:t>
            </w:r>
          </w:p>
        </w:tc>
      </w:tr>
      <w:tr>
        <w:trPr/>
        <w:tc>
          <w:tcPr>
            <w:tcW w:w="5786" w:type="dxa"/>
            <w:tcBorders/>
            <w:vAlign w:val="center"/>
          </w:tcPr>
          <w:p>
            <w:pPr>
              <w:pStyle w:val="TableContents"/>
              <w:bidi w:val="0"/>
              <w:spacing w:before="105" w:after="105"/>
              <w:jc w:val="start"/>
              <w:rPr/>
            </w:pPr>
            <w:r>
              <w:rPr/>
              <w:t>UCE Briefing</w:t>
            </w:r>
          </w:p>
        </w:tc>
        <w:tc>
          <w:tcPr>
            <w:tcW w:w="4191" w:type="dxa"/>
            <w:tcBorders/>
            <w:vAlign w:val="center"/>
          </w:tcPr>
          <w:p>
            <w:pPr>
              <w:pStyle w:val="TableContents"/>
              <w:bidi w:val="0"/>
              <w:spacing w:before="105" w:after="105"/>
              <w:jc w:val="start"/>
              <w:rPr/>
            </w:pPr>
            <w:r>
              <w:rPr/>
              <w:t>Thursday 8 October 2026</w:t>
            </w:r>
          </w:p>
        </w:tc>
      </w:tr>
      <w:tr>
        <w:trPr/>
        <w:tc>
          <w:tcPr>
            <w:tcW w:w="5786" w:type="dxa"/>
            <w:tcBorders/>
            <w:vAlign w:val="center"/>
          </w:tcPr>
          <w:p>
            <w:pPr>
              <w:pStyle w:val="TableContents"/>
              <w:bidi w:val="0"/>
              <w:spacing w:before="105" w:after="105"/>
              <w:jc w:val="start"/>
              <w:rPr/>
            </w:pPr>
            <w:r>
              <w:rPr/>
              <w:t>Independence Day</w:t>
            </w:r>
          </w:p>
        </w:tc>
        <w:tc>
          <w:tcPr>
            <w:tcW w:w="4191" w:type="dxa"/>
            <w:tcBorders/>
            <w:vAlign w:val="center"/>
          </w:tcPr>
          <w:p>
            <w:pPr>
              <w:pStyle w:val="TableContents"/>
              <w:bidi w:val="0"/>
              <w:spacing w:before="105" w:after="105"/>
              <w:jc w:val="start"/>
              <w:rPr/>
            </w:pPr>
            <w:r>
              <w:rPr/>
              <w:t>Friday 9 October 2026</w:t>
            </w:r>
          </w:p>
        </w:tc>
      </w:tr>
      <w:tr>
        <w:trPr/>
        <w:tc>
          <w:tcPr>
            <w:tcW w:w="5786" w:type="dxa"/>
            <w:tcBorders/>
            <w:vAlign w:val="center"/>
          </w:tcPr>
          <w:p>
            <w:pPr>
              <w:pStyle w:val="TableContents"/>
              <w:bidi w:val="0"/>
              <w:spacing w:before="105" w:after="105"/>
              <w:jc w:val="start"/>
              <w:rPr/>
            </w:pPr>
            <w:r>
              <w:rPr/>
              <w:t>Visiting Day</w:t>
            </w:r>
          </w:p>
        </w:tc>
        <w:tc>
          <w:tcPr>
            <w:tcW w:w="4191" w:type="dxa"/>
            <w:tcBorders/>
            <w:vAlign w:val="center"/>
          </w:tcPr>
          <w:p>
            <w:pPr>
              <w:pStyle w:val="TableContents"/>
              <w:bidi w:val="0"/>
              <w:spacing w:before="105" w:after="105"/>
              <w:jc w:val="start"/>
              <w:rPr/>
            </w:pPr>
            <w:r>
              <w:rPr/>
              <w:t>Saturday 10 October 2026</w:t>
            </w:r>
          </w:p>
        </w:tc>
      </w:tr>
      <w:tr>
        <w:trPr/>
        <w:tc>
          <w:tcPr>
            <w:tcW w:w="5786" w:type="dxa"/>
            <w:tcBorders/>
            <w:vAlign w:val="center"/>
          </w:tcPr>
          <w:p>
            <w:pPr>
              <w:pStyle w:val="TableContents"/>
              <w:bidi w:val="0"/>
              <w:spacing w:before="105" w:after="105"/>
              <w:jc w:val="start"/>
              <w:rPr/>
            </w:pPr>
            <w:r>
              <w:rPr/>
              <w:t>End-of-Term-III examinations</w:t>
            </w:r>
          </w:p>
        </w:tc>
        <w:tc>
          <w:tcPr>
            <w:tcW w:w="4191" w:type="dxa"/>
            <w:tcBorders/>
            <w:vAlign w:val="center"/>
          </w:tcPr>
          <w:p>
            <w:pPr>
              <w:pStyle w:val="TableContents"/>
              <w:bidi w:val="0"/>
              <w:spacing w:before="105" w:after="105"/>
              <w:jc w:val="start"/>
              <w:rPr/>
            </w:pPr>
            <w:r>
              <w:rPr/>
              <w:t>19–27 November 2026</w:t>
            </w:r>
          </w:p>
        </w:tc>
      </w:tr>
      <w:tr>
        <w:trPr/>
        <w:tc>
          <w:tcPr>
            <w:tcW w:w="5786" w:type="dxa"/>
            <w:tcBorders/>
            <w:vAlign w:val="center"/>
          </w:tcPr>
          <w:p>
            <w:pPr>
              <w:pStyle w:val="TableContents"/>
              <w:bidi w:val="0"/>
              <w:spacing w:before="105" w:after="105"/>
              <w:jc w:val="start"/>
              <w:rPr/>
            </w:pPr>
            <w:r>
              <w:rPr/>
              <w:t>End of Term III</w:t>
            </w:r>
          </w:p>
        </w:tc>
        <w:tc>
          <w:tcPr>
            <w:tcW w:w="4191" w:type="dxa"/>
            <w:tcBorders/>
            <w:vAlign w:val="center"/>
          </w:tcPr>
          <w:p>
            <w:pPr>
              <w:pStyle w:val="TableContents"/>
              <w:bidi w:val="0"/>
              <w:spacing w:before="105" w:after="105"/>
              <w:jc w:val="start"/>
              <w:rPr/>
            </w:pPr>
            <w:r>
              <w:rPr/>
              <w:t>Friday 4 December 2026</w:t>
            </w:r>
          </w:p>
        </w:tc>
      </w:tr>
    </w:tbl>
    <w:p>
      <w:pPr>
        <w:pStyle w:val="Heading2"/>
        <w:keepNext w:val="true"/>
        <w:numPr>
          <w:ilvl w:val="0"/>
          <w:numId w:val="0"/>
        </w:numPr>
        <w:bidi w:val="0"/>
        <w:spacing w:before="270" w:after="120"/>
        <w:ind w:hanging="0" w:start="270" w:end="270"/>
        <w:jc w:val="start"/>
        <w:rPr/>
      </w:pPr>
      <w:r>
        <w:rPr/>
        <w:t>11. Reporting and Visiting Cards</w:t>
      </w:r>
    </w:p>
    <w:p>
      <w:pPr>
        <w:pStyle w:val="BodyText"/>
        <w:bidi w:val="0"/>
        <w:spacing w:before="105" w:after="105"/>
        <w:ind w:start="105" w:end="105"/>
        <w:jc w:val="start"/>
        <w:rPr/>
      </w:pPr>
      <w:r>
        <w:rPr/>
        <w:t>All students must report between 8:00 AM and 5:00 PM. Students arriving beyond that time should report with a parent.</w:t>
      </w:r>
    </w:p>
    <w:p>
      <w:pPr>
        <w:pStyle w:val="BodyText"/>
        <w:bidi w:val="0"/>
        <w:spacing w:before="105" w:after="105"/>
        <w:ind w:start="105" w:end="105"/>
        <w:jc w:val="start"/>
        <w:rPr/>
      </w:pPr>
      <w:r>
        <w:rPr/>
        <w:t>Students were given visiting cards. Parents are asked to ensure their child gives them the card and to attach the parent's and student's passport photographs. The visiting card should be brought on every visit to the school.</w:t>
      </w:r>
    </w:p>
    <w:p>
      <w:pPr>
        <w:pStyle w:val="BodyText"/>
        <w:bidi w:val="0"/>
        <w:spacing w:before="270" w:after="105"/>
        <w:ind w:hanging="0" w:start="0" w:end="0"/>
        <w:jc w:val="start"/>
        <w:rPr/>
      </w:pPr>
      <w:r>
        <w:rPr>
          <w:rStyle w:val="Strong"/>
        </w:rPr>
        <w:t>Mpeirwe Monic Atukunda</w:t>
      </w:r>
      <w:r>
        <w:rPr/>
        <w:br/>
        <w:t>Headteacher</w:t>
      </w:r>
    </w:p>
    <w:p>
      <w:pPr>
        <w:pStyle w:val="BodyTexttyped-note"/>
        <w:bidi w:val="0"/>
        <w:spacing w:before="300" w:after="105"/>
        <w:jc w:val="start"/>
        <w:rPr/>
      </w:pPr>
      <w:r>
        <w:rPr/>
      </w:r>
    </w:p>
    <w:sectPr>
      <w:type w:val="nextPage"/>
      <w:pgSz w:w="11906" w:h="16838"/>
      <w:pgMar w:left="964" w:right="964" w:gutter="0" w:header="0" w:top="850" w:footer="0" w:bottom="964"/>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lineRule="auto" w:line="331" w:before="0" w:after="0"/>
      <w:jc w:val="start"/>
    </w:pPr>
    <w:rPr>
      <w:rFonts w:ascii="Liberation Sans;Arial;sans-serif" w:hAnsi="Liberation Sans;Arial;sans-serif" w:eastAsia="Liberation Sans;Arial;sans-serif" w:cs="Liberation Sans;Arial;sans-serif"/>
      <w:color w:val="17212B"/>
      <w:kern w:val="0"/>
      <w:sz w:val="20"/>
      <w:szCs w:val="20"/>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keepNext w:val="true"/>
      <w:numPr>
        <w:ilvl w:val="0"/>
        <w:numId w:val="0"/>
      </w:numPr>
      <w:pBdr>
        <w:bottom w:val="single" w:sz="2" w:space="3" w:color="C8D4DE"/>
      </w:pBdr>
      <w:spacing w:before="270" w:after="120"/>
      <w:ind w:start="270" w:end="270"/>
      <w:outlineLvl w:val="1"/>
    </w:pPr>
    <w:rPr>
      <w:rFonts w:ascii="Liberation Serif;Georgia;serif" w:hAnsi="Liberation Serif;Georgia;serif" w:eastAsia="Liberation Serif;Georgia;serif" w:cs="Liberation Serif;Georgia;serif"/>
      <w:b/>
      <w:bCs/>
      <w:color w:val="123F67"/>
      <w:sz w:val="28"/>
      <w:szCs w:val="28"/>
    </w:rPr>
  </w:style>
  <w:style w:type="paragraph" w:styleId="Heading3">
    <w:name w:val="heading 3"/>
    <w:basedOn w:val="Heading"/>
    <w:next w:val="BodyText"/>
    <w:qFormat/>
    <w:pPr>
      <w:keepNext w:val="true"/>
      <w:numPr>
        <w:ilvl w:val="0"/>
        <w:numId w:val="0"/>
      </w:numPr>
      <w:spacing w:before="195" w:after="75"/>
      <w:ind w:start="195" w:end="195"/>
      <w:outlineLvl w:val="2"/>
    </w:pPr>
    <w:rPr>
      <w:rFonts w:ascii="Liberation Serif" w:hAnsi="Liberation Serif" w:eastAsia="Noto Serif CJK SC" w:cs="Noto Sans Devanagari"/>
      <w:b/>
      <w:bCs/>
      <w:color w:val="123F67"/>
      <w:sz w:val="22"/>
      <w:szCs w:val="22"/>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user">
    <w:name w:val="Endnote Characters (user)"/>
    <w:qFormat/>
    <w:rPr/>
  </w:style>
  <w:style w:type="character" w:styleId="FootnoteCharactersuser">
    <w:name w:val="Footnote Characters (user)"/>
    <w:qFormat/>
    <w:rPr/>
  </w:style>
  <w:style w:type="character" w:styleId="Hyperlink">
    <w:name w:val="Hyperlink"/>
    <w:rPr>
      <w:color w:val="000080"/>
      <w:u w:val="single"/>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
    <w:name w:val="Body Text"/>
    <w:basedOn w:val="Normal"/>
    <w:pPr>
      <w:spacing w:before="105" w:after="105"/>
      <w:ind w:start="105" w:end="105"/>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TableHeading">
    <w:name w:val="Table Heading"/>
    <w:basedOn w:val="TableContents"/>
    <w:qFormat/>
    <w:pPr>
      <w:suppressLineNumbers/>
      <w:jc w:val="center"/>
    </w:pPr>
    <w:rPr>
      <w:b/>
      <w:bCs/>
    </w:rPr>
  </w:style>
  <w:style w:type="paragraph" w:styleId="BodyTextschool">
    <w:name w:val="Body Text.school"/>
    <w:basedOn w:val="TableContents"/>
    <w:qFormat/>
    <w:pPr/>
    <w:rPr>
      <w:rFonts w:ascii="Liberation Serif;Georgia;serif" w:hAnsi="Liberation Serif;Georgia;serif" w:eastAsia="Liberation Serif;Georgia;serif" w:cs="Liberation Serif;Georgia;serif"/>
      <w:b/>
      <w:bCs/>
      <w:color w:val="123F67"/>
      <w:sz w:val="44"/>
      <w:szCs w:val="44"/>
    </w:rPr>
  </w:style>
  <w:style w:type="paragraph" w:styleId="BodyTextmotto">
    <w:name w:val="Body Text.motto"/>
    <w:basedOn w:val="TableContents"/>
    <w:qFormat/>
    <w:pPr>
      <w:spacing w:before="30" w:after="90"/>
      <w:ind w:start="30" w:end="30"/>
    </w:pPr>
    <w:rPr>
      <w:b/>
      <w:bCs/>
      <w:color w:val="A66E15"/>
    </w:rPr>
  </w:style>
  <w:style w:type="paragraph" w:styleId="BodyTextcontact">
    <w:name w:val="Body Text.contact"/>
    <w:basedOn w:val="TableContents"/>
    <w:qFormat/>
    <w:pPr>
      <w:spacing w:before="15" w:after="15"/>
      <w:ind w:start="15" w:end="15"/>
    </w:pPr>
    <w:rPr>
      <w:sz w:val="19"/>
      <w:szCs w:val="19"/>
    </w:rPr>
  </w:style>
  <w:style w:type="paragraph" w:styleId="BodyTexttyped-note">
    <w:name w:val="Body Text.typed-note"/>
    <w:basedOn w:val="BodyText"/>
    <w:qFormat/>
    <w:pPr>
      <w:pBdr>
        <w:top w:val="single" w:sz="2" w:space="6" w:color="C8D4DE"/>
      </w:pBdr>
      <w:spacing w:before="300" w:after="105"/>
    </w:pPr>
    <w:rPr>
      <w:i/>
      <w:iCs/>
      <w:color w:val="566573"/>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4</Pages>
  <Words>777</Words>
  <Characters>4103</Characters>
  <CharactersWithSpaces>4778</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2026-08-19T07:36:31Z</dcterms:modified>
  <cp:revision>1</cp:revision>
  <dc:subject/>
  <dc:title>Communication From School — 18 August 2026</dc:title>
</cp:coreProperties>
</file>

<file path=docProps/custom.xml><?xml version="1.0" encoding="utf-8"?>
<Properties xmlns="http://schemas.openxmlformats.org/officeDocument/2006/custom-properties" xmlns:vt="http://schemas.openxmlformats.org/officeDocument/2006/docPropsVTypes"/>
</file>