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4155F" w14:textId="77777777" w:rsidR="00803950" w:rsidRPr="00330AC3" w:rsidRDefault="00803950" w:rsidP="00330AC3">
      <w:pPr>
        <w:spacing w:after="0" w:line="36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 w:rsidRPr="00330AC3">
        <w:rPr>
          <w:rFonts w:ascii="Garamond" w:eastAsia="Garamond" w:hAnsi="Garamond" w:cs="Garamond"/>
          <w:b/>
          <w:sz w:val="24"/>
          <w:szCs w:val="24"/>
        </w:rPr>
        <w:t>EXMO. SR. DESEMBARGADOR PRESIDENTE DO TRIBUNAL DE JUSTIÇA DO ESTADO DO RIO DE JANEIRO</w:t>
      </w:r>
    </w:p>
    <w:p w14:paraId="7D54B373" w14:textId="77777777" w:rsidR="00803950" w:rsidRPr="00330AC3" w:rsidRDefault="00803950" w:rsidP="00330AC3">
      <w:pPr>
        <w:spacing w:after="0" w:line="36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708E725F" w14:textId="77777777" w:rsidR="00803950" w:rsidRPr="00330AC3" w:rsidRDefault="00803950" w:rsidP="00330AC3">
      <w:pPr>
        <w:spacing w:after="0" w:line="36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23C6958F" w14:textId="77777777" w:rsidR="00803950" w:rsidRPr="00330AC3" w:rsidRDefault="00803950" w:rsidP="00330AC3">
      <w:pPr>
        <w:spacing w:after="0" w:line="360" w:lineRule="auto"/>
        <w:jc w:val="both"/>
        <w:rPr>
          <w:rFonts w:ascii="Garamond" w:eastAsia="Garamond" w:hAnsi="Garamond" w:cs="Garamond"/>
          <w:b/>
          <w:sz w:val="24"/>
          <w:szCs w:val="24"/>
        </w:rPr>
      </w:pPr>
      <w:r w:rsidRPr="00330AC3">
        <w:rPr>
          <w:rFonts w:ascii="Garamond" w:eastAsia="Garamond" w:hAnsi="Garamond" w:cs="Garamond"/>
          <w:b/>
          <w:sz w:val="24"/>
          <w:szCs w:val="24"/>
        </w:rPr>
        <w:t>Processo nº [PROCESSO]</w:t>
      </w:r>
    </w:p>
    <w:p w14:paraId="216B8A86" w14:textId="77777777" w:rsidR="00803950" w:rsidRPr="00330AC3" w:rsidRDefault="00803950" w:rsidP="00330AC3">
      <w:pPr>
        <w:spacing w:after="0" w:line="360" w:lineRule="auto"/>
        <w:jc w:val="both"/>
        <w:rPr>
          <w:rFonts w:ascii="Garamond" w:eastAsia="Garamond" w:hAnsi="Garamond" w:cs="Garamond"/>
          <w:sz w:val="24"/>
          <w:szCs w:val="24"/>
        </w:rPr>
      </w:pPr>
    </w:p>
    <w:p w14:paraId="4B89349B" w14:textId="77777777" w:rsidR="00330AC3" w:rsidRPr="00330AC3" w:rsidRDefault="00803950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Garamond" w:hAnsi="Garamond" w:cs="Garamond"/>
          <w:b/>
          <w:sz w:val="24"/>
          <w:szCs w:val="24"/>
        </w:rPr>
        <w:t>[NOME]</w:t>
      </w:r>
      <w:r w:rsidRPr="00330AC3">
        <w:rPr>
          <w:rFonts w:ascii="Garamond" w:eastAsia="Garamond" w:hAnsi="Garamond" w:cs="Garamond"/>
          <w:sz w:val="24"/>
          <w:szCs w:val="24"/>
        </w:rPr>
        <w:t xml:space="preserve">, </w:t>
      </w:r>
      <w:r w:rsidR="00330AC3"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devidamente qualificada no cumprimento de sentença que move em face do </w:t>
      </w:r>
      <w:r w:rsidR="00330AC3" w:rsidRPr="00330AC3">
        <w:rPr>
          <w:rFonts w:ascii="Garamond" w:eastAsia="Arial" w:hAnsi="Garamond" w:cs="Arial"/>
          <w:b/>
          <w:bCs/>
          <w:sz w:val="24"/>
          <w:szCs w:val="24"/>
          <w:lang w:eastAsia="en-GB"/>
        </w:rPr>
        <w:t>ESTADO DO RIO DE JANEIRO</w:t>
      </w:r>
      <w:r w:rsidR="00330AC3"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, vem, respeitosamente, por seus advogados, apresentar </w:t>
      </w:r>
      <w:r w:rsidR="00330AC3" w:rsidRPr="00330AC3">
        <w:rPr>
          <w:rFonts w:ascii="Garamond" w:eastAsia="Arial" w:hAnsi="Garamond" w:cs="Arial"/>
          <w:b/>
          <w:bCs/>
          <w:sz w:val="24"/>
          <w:szCs w:val="24"/>
          <w:lang w:eastAsia="en-GB"/>
        </w:rPr>
        <w:t>RESPOSTA À IMPUGNAÇÃO</w:t>
      </w:r>
      <w:r w:rsidR="00330AC3"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 formulada pelo Estado do Rio de Janeiro quanto ao pedido de reembolso das custas adiantadas para execução dos honorários sucumbenciais, expondo e requerendo o que se segue.</w:t>
      </w:r>
    </w:p>
    <w:p w14:paraId="69B40C9A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16"/>
          <w:szCs w:val="16"/>
          <w:lang w:eastAsia="en-GB"/>
        </w:rPr>
      </w:pPr>
    </w:p>
    <w:p w14:paraId="3B54582C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b/>
          <w:bCs/>
          <w:sz w:val="24"/>
          <w:szCs w:val="24"/>
          <w:u w:val="single"/>
          <w:lang w:eastAsia="en-GB"/>
        </w:rPr>
        <w:t>– DA IMPUGNAÇÃO DO ESTADO E DA NECESSIDADE DE SUA REJEIÇÃO –</w:t>
      </w:r>
    </w:p>
    <w:p w14:paraId="2DC75CDD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4424BB2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O Estado do Rio de Janeiro impugnou o pedido de reembolso das custas adiantadas pela patrona da parte autora para execução dos honorários sucumbenciais, sustentando, em suma: (i) que o advogado que executa seus honorários atua em causa própria e é usuário da justiça como qualquer outro, devendo arcar com as custas; (</w:t>
      </w:r>
      <w:proofErr w:type="spellStart"/>
      <w:r w:rsidRPr="00330AC3">
        <w:rPr>
          <w:rFonts w:ascii="Garamond" w:eastAsia="Arial" w:hAnsi="Garamond" w:cs="Arial"/>
          <w:sz w:val="24"/>
          <w:szCs w:val="24"/>
          <w:lang w:eastAsia="en-GB"/>
        </w:rPr>
        <w:t>ii</w:t>
      </w:r>
      <w:proofErr w:type="spellEnd"/>
      <w:r w:rsidRPr="00330AC3">
        <w:rPr>
          <w:rFonts w:ascii="Garamond" w:eastAsia="Arial" w:hAnsi="Garamond" w:cs="Arial"/>
          <w:sz w:val="24"/>
          <w:szCs w:val="24"/>
          <w:lang w:eastAsia="en-GB"/>
        </w:rPr>
        <w:t>) que não haveria repetição de cobrança por ser a titularidade da ação de honorários distinta da ação principal; e (</w:t>
      </w:r>
      <w:proofErr w:type="spellStart"/>
      <w:r w:rsidRPr="00330AC3">
        <w:rPr>
          <w:rFonts w:ascii="Garamond" w:eastAsia="Arial" w:hAnsi="Garamond" w:cs="Arial"/>
          <w:sz w:val="24"/>
          <w:szCs w:val="24"/>
          <w:lang w:eastAsia="en-GB"/>
        </w:rPr>
        <w:t>iii</w:t>
      </w:r>
      <w:proofErr w:type="spellEnd"/>
      <w:r w:rsidRPr="00330AC3">
        <w:rPr>
          <w:rFonts w:ascii="Garamond" w:eastAsia="Arial" w:hAnsi="Garamond" w:cs="Arial"/>
          <w:sz w:val="24"/>
          <w:szCs w:val="24"/>
          <w:lang w:eastAsia="en-GB"/>
        </w:rPr>
        <w:t>) que a isenção prevista na Lei nº 3.350/1999 contempla o Estado independentemente da posição processual assumida.</w:t>
      </w:r>
    </w:p>
    <w:p w14:paraId="09FBD087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0E5EDB76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Referidos argumentos, contudo, não merecem prosperar, conforme se passa a demonstrar.</w:t>
      </w:r>
    </w:p>
    <w:p w14:paraId="6815F1A4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2CE40E20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b/>
          <w:bCs/>
          <w:sz w:val="24"/>
          <w:szCs w:val="24"/>
          <w:u w:val="single"/>
          <w:lang w:eastAsia="en-GB"/>
        </w:rPr>
        <w:t>– DO DEVER DE REEMBOLSO DAS CUSTAS ADIANTADAS PELA VENCEDORA –</w:t>
      </w:r>
    </w:p>
    <w:p w14:paraId="43FEAA88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1BE0F322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O art. 82, §2º, do Código de Processo Civil é expresso:</w:t>
      </w:r>
    </w:p>
    <w:p w14:paraId="1FDC1D05" w14:textId="77777777" w:rsidR="00330AC3" w:rsidRPr="00330AC3" w:rsidRDefault="00330AC3" w:rsidP="00330AC3">
      <w:pPr>
        <w:spacing w:after="0" w:line="24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A520F19" w14:textId="77777777" w:rsidR="00330AC3" w:rsidRPr="00330AC3" w:rsidRDefault="00330AC3" w:rsidP="00330AC3">
      <w:pPr>
        <w:spacing w:after="0" w:line="360" w:lineRule="auto"/>
        <w:ind w:left="720" w:right="720"/>
        <w:jc w:val="both"/>
        <w:rPr>
          <w:rFonts w:ascii="Garamond" w:eastAsia="Times New Roman" w:hAnsi="Garamond" w:cs="Times New Roman"/>
          <w:sz w:val="20"/>
          <w:szCs w:val="20"/>
          <w:lang w:eastAsia="en-GB"/>
        </w:rPr>
      </w:pPr>
      <w:r w:rsidRPr="00330AC3">
        <w:rPr>
          <w:rFonts w:ascii="Garamond" w:eastAsia="Arial" w:hAnsi="Garamond" w:cs="Arial"/>
          <w:sz w:val="20"/>
          <w:szCs w:val="20"/>
          <w:lang w:eastAsia="en-GB"/>
        </w:rPr>
        <w:t>Art. 82. Salvo as disposições concernentes à gratuidade da justiça, incumbe às partes prover as despesas dos atos que realizarem ou requererem no processo, antecipando-lhes o pagamento, desde o início até a sentença final ou, na execução, até a plena satisfação do direito reconhecido no título.</w:t>
      </w:r>
    </w:p>
    <w:p w14:paraId="191A1A76" w14:textId="77777777" w:rsidR="00330AC3" w:rsidRPr="00330AC3" w:rsidRDefault="00330AC3" w:rsidP="00330AC3">
      <w:pPr>
        <w:spacing w:after="0" w:line="360" w:lineRule="auto"/>
        <w:ind w:left="720" w:right="720"/>
        <w:jc w:val="both"/>
        <w:rPr>
          <w:rFonts w:ascii="Garamond" w:eastAsia="Times New Roman" w:hAnsi="Garamond" w:cs="Times New Roman"/>
          <w:sz w:val="20"/>
          <w:szCs w:val="20"/>
          <w:lang w:eastAsia="en-GB"/>
        </w:rPr>
      </w:pPr>
      <w:r w:rsidRPr="00330AC3">
        <w:rPr>
          <w:rFonts w:ascii="Garamond" w:eastAsia="Arial" w:hAnsi="Garamond" w:cs="Arial"/>
          <w:sz w:val="20"/>
          <w:szCs w:val="20"/>
          <w:lang w:eastAsia="en-GB"/>
        </w:rPr>
        <w:t>§ 2º A sentença condenará o vencido a pagar ao vencedor as despesas que antecipou.</w:t>
      </w:r>
    </w:p>
    <w:p w14:paraId="1975D552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88563F5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lastRenderedPageBreak/>
        <w:t>A interpretação consolidada pelo Superior Tribunal de Justiça é no sentido de que o pagamento inicial de custas pelo autor representa responsabilidade provisória, sendo a responsabilidade definitiva atribuída ao vencido ao final do processo, conforme decidiu a Ministra Nancy Andrighi:</w:t>
      </w:r>
    </w:p>
    <w:p w14:paraId="10589E8D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lang w:eastAsia="en-GB"/>
        </w:rPr>
      </w:pPr>
    </w:p>
    <w:p w14:paraId="32C733F5" w14:textId="77777777" w:rsidR="00330AC3" w:rsidRPr="00330AC3" w:rsidRDefault="00330AC3" w:rsidP="00330AC3">
      <w:pPr>
        <w:spacing w:after="0" w:line="360" w:lineRule="auto"/>
        <w:ind w:left="720" w:right="720"/>
        <w:jc w:val="both"/>
        <w:rPr>
          <w:rFonts w:ascii="Garamond" w:eastAsia="Times New Roman" w:hAnsi="Garamond" w:cs="Times New Roman"/>
          <w:lang w:eastAsia="en-GB"/>
        </w:rPr>
      </w:pPr>
      <w:r w:rsidRPr="00330AC3">
        <w:rPr>
          <w:rFonts w:ascii="Garamond" w:eastAsia="Arial" w:hAnsi="Garamond" w:cs="Arial"/>
          <w:lang w:eastAsia="en-GB"/>
        </w:rPr>
        <w:t>"Há uma responsabilidade provisória pelo pagamento das despesas processuais, porquanto o art. 82, §2º, do CPC, é expresso ao determinar que a sentença condenará o vencido a pagar ao vencedor as despesas que antecipou." (REsp n. 2.026.289/PR, Relatora Ministra Nancy Andrighi, Terceira Turma, julgado em 6/12/2022)</w:t>
      </w:r>
    </w:p>
    <w:p w14:paraId="1F210257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0639042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Assim, independentemente de quem tenha adiantado </w:t>
      </w:r>
      <w:proofErr w:type="gramStart"/>
      <w:r w:rsidRPr="00330AC3">
        <w:rPr>
          <w:rFonts w:ascii="Garamond" w:eastAsia="Arial" w:hAnsi="Garamond" w:cs="Arial"/>
          <w:sz w:val="24"/>
          <w:szCs w:val="24"/>
          <w:lang w:eastAsia="en-GB"/>
        </w:rPr>
        <w:t>as</w:t>
      </w:r>
      <w:proofErr w:type="gramEnd"/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 custas da execução dos honorários — a parte autora ou seu patrono —, o Estado, como vencido, tem a obrigação de reembolsá-las, pois o processo não pode resultar em prejuízo ao vencedor.</w:t>
      </w:r>
    </w:p>
    <w:p w14:paraId="16A206DA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60ED88A0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b/>
          <w:bCs/>
          <w:sz w:val="24"/>
          <w:szCs w:val="24"/>
          <w:u w:val="single"/>
          <w:lang w:eastAsia="en-GB"/>
        </w:rPr>
        <w:t>– DA DISTINÇÃO ENTRE A REGRA GERAL DE PAGAMENTO DE CUSTAS E O DEVER DE REEMBOLSO –</w:t>
      </w:r>
    </w:p>
    <w:p w14:paraId="139F3B25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EACA5D3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O Estado confunde dois institutos distintos: (i) a </w:t>
      </w:r>
      <w:r w:rsidRPr="00330AC3">
        <w:rPr>
          <w:rFonts w:ascii="Garamond" w:eastAsia="Arial" w:hAnsi="Garamond" w:cs="Arial"/>
          <w:i/>
          <w:iCs/>
          <w:sz w:val="24"/>
          <w:szCs w:val="24"/>
          <w:lang w:eastAsia="en-GB"/>
        </w:rPr>
        <w:t>regra de pagamento antecipado das custas</w:t>
      </w: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, que impõe ao advogado o dever de recolher </w:t>
      </w:r>
      <w:proofErr w:type="gramStart"/>
      <w:r w:rsidRPr="00330AC3">
        <w:rPr>
          <w:rFonts w:ascii="Garamond" w:eastAsia="Arial" w:hAnsi="Garamond" w:cs="Arial"/>
          <w:sz w:val="24"/>
          <w:szCs w:val="24"/>
          <w:lang w:eastAsia="en-GB"/>
        </w:rPr>
        <w:t>as</w:t>
      </w:r>
      <w:proofErr w:type="gramEnd"/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 custas da execução de seus honorários (Enunciado nº 39 do Aviso TJRJ nº 57/2010); e (</w:t>
      </w:r>
      <w:proofErr w:type="spellStart"/>
      <w:r w:rsidRPr="00330AC3">
        <w:rPr>
          <w:rFonts w:ascii="Garamond" w:eastAsia="Arial" w:hAnsi="Garamond" w:cs="Arial"/>
          <w:sz w:val="24"/>
          <w:szCs w:val="24"/>
          <w:lang w:eastAsia="en-GB"/>
        </w:rPr>
        <w:t>ii</w:t>
      </w:r>
      <w:proofErr w:type="spellEnd"/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) o </w:t>
      </w:r>
      <w:r w:rsidRPr="00330AC3">
        <w:rPr>
          <w:rFonts w:ascii="Garamond" w:eastAsia="Arial" w:hAnsi="Garamond" w:cs="Arial"/>
          <w:i/>
          <w:iCs/>
          <w:sz w:val="24"/>
          <w:szCs w:val="24"/>
          <w:lang w:eastAsia="en-GB"/>
        </w:rPr>
        <w:t>direito de reembolso</w:t>
      </w: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 de quem adiantou as custas em virtude de obrigação que deveria, em definitivo, recair sobre o vencido.</w:t>
      </w:r>
    </w:p>
    <w:p w14:paraId="4658C104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20627003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O fato de que o advogado deve adiantar </w:t>
      </w:r>
      <w:proofErr w:type="gramStart"/>
      <w:r w:rsidRPr="00330AC3">
        <w:rPr>
          <w:rFonts w:ascii="Garamond" w:eastAsia="Arial" w:hAnsi="Garamond" w:cs="Arial"/>
          <w:sz w:val="24"/>
          <w:szCs w:val="24"/>
          <w:lang w:eastAsia="en-GB"/>
        </w:rPr>
        <w:t>as</w:t>
      </w:r>
      <w:proofErr w:type="gramEnd"/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 custas da execução de seus honorários não elide, por si só, o direito ao reembolso posterior desses valores pelo ente público vencido. O Enunciado nº 39 do FETJ regula quem recolhe antecipadamente — o advogado — mas não afasta a obrigação do vencido de, ao final, ressarcir as despesas processuais adiantadas pela parte vencedora ou por seu patrono.</w:t>
      </w:r>
    </w:p>
    <w:p w14:paraId="31C021D2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7B6FED31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Com efeito, o art. 17, §1º, da Lei nº 3.350/1999 restringe o dever de reembolso às custas "adiantadas pela parte vencedora". Ora, foi exatamente isso que ocorreu: a patrona da parte autora adiantou as custas para viabilizar a execução dos honorários sucumbenciais que constituem crédito seu, decorrente de condenação judicial do próprio Estado.</w:t>
      </w:r>
    </w:p>
    <w:p w14:paraId="148322B1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</w:p>
    <w:p w14:paraId="13D06C64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0FEB634B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44CFCB3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b/>
          <w:bCs/>
          <w:sz w:val="24"/>
          <w:szCs w:val="24"/>
          <w:u w:val="single"/>
          <w:lang w:eastAsia="en-GB"/>
        </w:rPr>
        <w:lastRenderedPageBreak/>
        <w:t>– DA ISENÇÃO DO ESTADO E SUA NÃO APLICAÇÃO AO CASO CONCRETO –</w:t>
      </w:r>
    </w:p>
    <w:p w14:paraId="288751AB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6A54E383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O Estado alega que a isenção prevista no art. 17, IX, da Lei nº 3.350/1999 o desobrigaria do reembolso das custas. Não é verdade.</w:t>
      </w:r>
    </w:p>
    <w:p w14:paraId="138F2442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5A902FD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A isenção tributária de que trata o art. 17, IX, da Lei nº 3.350/1999 significa que o Estado, quando figura em um processo, não precisa recolher antecipadamente as custas judiciais. Não significa que, quando vencido, pode se recusar a ressarcir a parte vencedora pelas despesas que ela adiantou.</w:t>
      </w:r>
    </w:p>
    <w:p w14:paraId="35660844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4FE47B0D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O art. 17, §1º, da Lei nº 3.350/1999 é claro ao estabelecer que a isenção não afasta o dever de reembolso das custas adiantadas pela parte vencedora quando o Estado é vencido. A isenção é do pagamento antecipado, não da responsabilidade definitiva pelas despesas processuais causadas pela sua sucumbência.</w:t>
      </w:r>
    </w:p>
    <w:p w14:paraId="14FB2773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0B518515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Aceitar o raciocínio do Estado implicaria que, em toda ação movida em seu desfavor, o particular vencedor nunca poderia ser ressarcido pelas custas que adiantou — o que viola flagrantemente o princípio de que o processo não pode prejudicar o vencedor e o comando expresso do art. 82, §2º, do CPC.</w:t>
      </w:r>
    </w:p>
    <w:p w14:paraId="516B248F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1666690E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b/>
          <w:bCs/>
          <w:sz w:val="24"/>
          <w:szCs w:val="24"/>
          <w:u w:val="single"/>
          <w:lang w:eastAsia="en-GB"/>
        </w:rPr>
        <w:t>– DA NECESSIDADE DE CORREÇÃO MONETÁRIA DOS VALORES NA DATA DO EFETIVO PAGAMENTO –</w:t>
      </w:r>
    </w:p>
    <w:p w14:paraId="71D8EF29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2A5BF720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Independentemente do deslinde da questão relativa ao reembolso das custas, é imprescindível que o Estado proceda à correção monetária de todos os valores devidos até a data do efetivo pagamento.</w:t>
      </w:r>
    </w:p>
    <w:p w14:paraId="22EB5E16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25244A96" w14:textId="77777777" w:rsidR="00330AC3" w:rsidRDefault="00330AC3" w:rsidP="00330AC3">
      <w:pPr>
        <w:spacing w:after="0" w:line="360" w:lineRule="auto"/>
        <w:ind w:firstLine="709"/>
        <w:jc w:val="both"/>
        <w:rPr>
          <w:rFonts w:ascii="Garamond" w:eastAsia="Arial" w:hAnsi="Garamond" w:cs="Arial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Caso o pagamento seja efetuado sem a devida atualização monetária até a data da efetiva quitação, </w:t>
      </w:r>
      <w:r w:rsidRPr="00330AC3">
        <w:rPr>
          <w:rFonts w:ascii="Garamond" w:eastAsia="Arial" w:hAnsi="Garamond" w:cs="Arial"/>
          <w:b/>
          <w:bCs/>
          <w:sz w:val="24"/>
          <w:szCs w:val="24"/>
          <w:lang w:eastAsia="en-GB"/>
        </w:rPr>
        <w:t>não será possível conferir a quitação integral dos valores</w:t>
      </w:r>
      <w:r w:rsidRPr="00330AC3">
        <w:rPr>
          <w:rFonts w:ascii="Garamond" w:eastAsia="Arial" w:hAnsi="Garamond" w:cs="Arial"/>
          <w:sz w:val="24"/>
          <w:szCs w:val="24"/>
          <w:lang w:eastAsia="en-GB"/>
        </w:rPr>
        <w:t>, e a diferença apurada será objeto de novo pedido de RPV, gerando desnecessário acúmulo de processos e encargos para o próprio Estado.</w:t>
      </w:r>
    </w:p>
    <w:p w14:paraId="30789F88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7C4E2CA9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A atualização dos valores deve observar os índices aplicáveis à época do pagamento, sendo certo que quaisquer diferenças não contempladas na RPV ora expedida deverão ser perseguidas em sede de complementação, com os consectários legais devidos.</w:t>
      </w:r>
    </w:p>
    <w:p w14:paraId="5E145D3B" w14:textId="77777777" w:rsid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664A2BD1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4E499ACA" w14:textId="77777777" w:rsidR="00330AC3" w:rsidRP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b/>
          <w:bCs/>
          <w:sz w:val="24"/>
          <w:szCs w:val="24"/>
          <w:u w:val="single"/>
          <w:lang w:eastAsia="en-GB"/>
        </w:rPr>
        <w:lastRenderedPageBreak/>
        <w:t>– DO PEDIDO –</w:t>
      </w:r>
    </w:p>
    <w:p w14:paraId="78C428F9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1864C063" w14:textId="77777777" w:rsidR="00330AC3" w:rsidRPr="00330AC3" w:rsidRDefault="00330AC3" w:rsidP="00330AC3">
      <w:pPr>
        <w:spacing w:after="0" w:line="360" w:lineRule="auto"/>
        <w:ind w:firstLine="709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Diante de todo o exposto, requer-se:</w:t>
      </w:r>
    </w:p>
    <w:p w14:paraId="6C35470A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2F349DC" w14:textId="77777777" w:rsidR="00330AC3" w:rsidRPr="00330AC3" w:rsidRDefault="00330AC3" w:rsidP="00330AC3">
      <w:pPr>
        <w:spacing w:after="0" w:line="360" w:lineRule="auto"/>
        <w:ind w:left="360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1. A rejeição da impugnação formulada pelo Estado do Rio de Janeiro, mantendo-se o dever de reembolso das custas adiantadas pela patrona da parte autora para execução dos honorários sucumbenciais;</w:t>
      </w:r>
    </w:p>
    <w:p w14:paraId="5A65673E" w14:textId="77777777" w:rsidR="00330AC3" w:rsidRPr="00330AC3" w:rsidRDefault="00330AC3" w:rsidP="00330AC3">
      <w:pPr>
        <w:spacing w:after="0" w:line="360" w:lineRule="auto"/>
        <w:ind w:left="360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>2. A determinação de que o Estado proceda ao pagamento dos valores devidamente corrigidos até a data do efetivo pagamento, sob pena de impossibilidade de quitação, sendo a eventual diferença objeto de novo pedido de RPV;</w:t>
      </w:r>
    </w:p>
    <w:p w14:paraId="7F36AC0E" w14:textId="7C629025" w:rsidR="00330AC3" w:rsidRPr="00330AC3" w:rsidRDefault="00330AC3" w:rsidP="00330AC3">
      <w:pPr>
        <w:spacing w:after="0" w:line="360" w:lineRule="auto"/>
        <w:ind w:left="360"/>
        <w:jc w:val="both"/>
        <w:rPr>
          <w:rFonts w:ascii="Garamond" w:eastAsia="Times New Roman" w:hAnsi="Garamond" w:cs="Times New Roman"/>
          <w:sz w:val="24"/>
          <w:szCs w:val="24"/>
          <w:lang w:eastAsia="en-GB"/>
        </w:rPr>
      </w:pP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3. A expedição de RPV em nome da patrona Liz Werner Formaggini, OAB/RJ 184.888, CPF 135.583.857-64, para </w:t>
      </w:r>
      <w:r>
        <w:rPr>
          <w:rFonts w:ascii="Garamond" w:eastAsia="Arial" w:hAnsi="Garamond" w:cs="Arial"/>
          <w:sz w:val="24"/>
          <w:szCs w:val="24"/>
          <w:lang w:eastAsia="en-GB"/>
        </w:rPr>
        <w:t>o</w:t>
      </w:r>
      <w:r w:rsidRPr="00330AC3">
        <w:rPr>
          <w:rFonts w:ascii="Garamond" w:eastAsia="Arial" w:hAnsi="Garamond" w:cs="Arial"/>
          <w:sz w:val="24"/>
          <w:szCs w:val="24"/>
          <w:lang w:eastAsia="en-GB"/>
        </w:rPr>
        <w:t xml:space="preserve"> reembolso das custas adiantadas.</w:t>
      </w:r>
    </w:p>
    <w:p w14:paraId="6F73A2EC" w14:textId="77777777" w:rsidR="00330AC3" w:rsidRPr="00330AC3" w:rsidRDefault="00330AC3" w:rsidP="00330AC3">
      <w:pPr>
        <w:spacing w:after="0" w:line="360" w:lineRule="auto"/>
        <w:rPr>
          <w:rFonts w:ascii="Garamond" w:eastAsia="Times New Roman" w:hAnsi="Garamond" w:cs="Times New Roman"/>
          <w:sz w:val="24"/>
          <w:szCs w:val="24"/>
          <w:lang w:eastAsia="en-GB"/>
        </w:rPr>
      </w:pPr>
    </w:p>
    <w:p w14:paraId="57916C3D" w14:textId="77777777" w:rsidR="00421B28" w:rsidRPr="00330AC3" w:rsidRDefault="00421B28" w:rsidP="00330AC3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4"/>
          <w:szCs w:val="24"/>
        </w:rPr>
      </w:pPr>
      <w:r w:rsidRPr="00330AC3">
        <w:rPr>
          <w:rFonts w:ascii="Garamond" w:eastAsia="Times New Roman" w:hAnsi="Garamond" w:cs="Times New Roman"/>
          <w:color w:val="000000"/>
          <w:sz w:val="24"/>
          <w:szCs w:val="24"/>
        </w:rPr>
        <w:t xml:space="preserve">Nestes termos, </w:t>
      </w:r>
    </w:p>
    <w:p w14:paraId="7A2C988D" w14:textId="7821A28E" w:rsidR="00421B28" w:rsidRPr="00330AC3" w:rsidRDefault="00421B28" w:rsidP="00330AC3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4"/>
          <w:szCs w:val="24"/>
        </w:rPr>
      </w:pPr>
      <w:r w:rsidRPr="00330AC3">
        <w:rPr>
          <w:rFonts w:ascii="Garamond" w:eastAsia="Times New Roman" w:hAnsi="Garamond" w:cs="Times New Roman"/>
          <w:color w:val="000000"/>
          <w:sz w:val="24"/>
          <w:szCs w:val="24"/>
        </w:rPr>
        <w:t>Pede deferimento.</w:t>
      </w:r>
    </w:p>
    <w:p w14:paraId="1BE55887" w14:textId="24C2BB55" w:rsidR="00421B28" w:rsidRPr="00330AC3" w:rsidRDefault="00421B28" w:rsidP="00330AC3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4"/>
          <w:szCs w:val="24"/>
        </w:rPr>
      </w:pPr>
      <w:r w:rsidRPr="00330AC3">
        <w:rPr>
          <w:rFonts w:ascii="Garamond" w:eastAsia="Times New Roman" w:hAnsi="Garamond" w:cs="Times New Roman"/>
          <w:color w:val="000000"/>
          <w:sz w:val="24"/>
          <w:szCs w:val="24"/>
        </w:rPr>
        <w:t xml:space="preserve">Niterói. </w:t>
      </w:r>
      <w:r w:rsidR="00D534AF" w:rsidRPr="00330AC3">
        <w:rPr>
          <w:rFonts w:ascii="Garamond" w:eastAsia="Times New Roman" w:hAnsi="Garamond" w:cs="Times New Roman"/>
          <w:color w:val="000000"/>
          <w:sz w:val="24"/>
          <w:szCs w:val="24"/>
        </w:rPr>
        <w:fldChar w:fldCharType="begin"/>
      </w:r>
      <w:r w:rsidR="00D534AF" w:rsidRPr="00330AC3">
        <w:rPr>
          <w:rFonts w:ascii="Garamond" w:eastAsia="Times New Roman" w:hAnsi="Garamond" w:cs="Times New Roman"/>
          <w:color w:val="000000"/>
          <w:sz w:val="24"/>
          <w:szCs w:val="24"/>
        </w:rPr>
        <w:instrText xml:space="preserve"> TIME \@ "d' de 'MMMM' de 'yyyy" </w:instrText>
      </w:r>
      <w:r w:rsidR="00D534AF" w:rsidRPr="00330AC3">
        <w:rPr>
          <w:rFonts w:ascii="Garamond" w:eastAsia="Times New Roman" w:hAnsi="Garamond" w:cs="Times New Roman"/>
          <w:color w:val="000000"/>
          <w:sz w:val="24"/>
          <w:szCs w:val="24"/>
        </w:rPr>
        <w:fldChar w:fldCharType="separate"/>
      </w:r>
      <w:r w:rsidR="00330AC3" w:rsidRPr="00330AC3">
        <w:rPr>
          <w:rFonts w:ascii="Garamond" w:eastAsia="Times New Roman" w:hAnsi="Garamond" w:cs="Times New Roman"/>
          <w:noProof/>
          <w:color w:val="000000"/>
          <w:sz w:val="24"/>
          <w:szCs w:val="24"/>
        </w:rPr>
        <w:t>2 de maio de 2026</w:t>
      </w:r>
      <w:r w:rsidR="00D534AF" w:rsidRPr="00330AC3">
        <w:rPr>
          <w:rFonts w:ascii="Garamond" w:eastAsia="Times New Roman" w:hAnsi="Garamond" w:cs="Times New Roman"/>
          <w:color w:val="000000"/>
          <w:sz w:val="24"/>
          <w:szCs w:val="24"/>
        </w:rPr>
        <w:fldChar w:fldCharType="end"/>
      </w:r>
      <w:r w:rsidRPr="00330AC3">
        <w:rPr>
          <w:rFonts w:ascii="Garamond" w:eastAsia="Times New Roman" w:hAnsi="Garamond" w:cs="Times New Roman"/>
          <w:color w:val="000000"/>
          <w:sz w:val="24"/>
          <w:szCs w:val="24"/>
        </w:rPr>
        <w:t>.</w:t>
      </w:r>
    </w:p>
    <w:p w14:paraId="6B0DFB6B" w14:textId="77777777" w:rsidR="00D534AF" w:rsidRPr="00330AC3" w:rsidRDefault="00D534AF" w:rsidP="00330AC3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4"/>
          <w:szCs w:val="24"/>
        </w:rPr>
      </w:pPr>
    </w:p>
    <w:p w14:paraId="68FF5285" w14:textId="77777777" w:rsidR="00D534AF" w:rsidRPr="00330AC3" w:rsidRDefault="00D534AF" w:rsidP="00330AC3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4"/>
          <w:szCs w:val="24"/>
        </w:rPr>
      </w:pPr>
    </w:p>
    <w:p w14:paraId="7B6A5630" w14:textId="77777777" w:rsidR="00D534AF" w:rsidRPr="00330AC3" w:rsidRDefault="00D534AF" w:rsidP="00330AC3">
      <w:pPr>
        <w:spacing w:after="0" w:line="360" w:lineRule="auto"/>
        <w:jc w:val="center"/>
        <w:rPr>
          <w:rFonts w:ascii="Garamond" w:eastAsia="Times New Roman" w:hAnsi="Garamond" w:cs="Times New Roman"/>
          <w:color w:val="000000"/>
          <w:sz w:val="24"/>
          <w:szCs w:val="24"/>
        </w:rPr>
      </w:pPr>
    </w:p>
    <w:tbl>
      <w:tblPr>
        <w:tblStyle w:val="TableGrid"/>
        <w:tblW w:w="96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4"/>
        <w:gridCol w:w="4814"/>
      </w:tblGrid>
      <w:tr w:rsidR="00D534AF" w:rsidRPr="00330AC3" w14:paraId="4BC9E22E" w14:textId="77777777" w:rsidTr="00D534AF">
        <w:tc>
          <w:tcPr>
            <w:tcW w:w="4814" w:type="dxa"/>
          </w:tcPr>
          <w:p w14:paraId="77F56AB9" w14:textId="77777777" w:rsidR="00D534AF" w:rsidRPr="00330AC3" w:rsidRDefault="00D534AF" w:rsidP="00330AC3">
            <w:pPr>
              <w:spacing w:line="360" w:lineRule="auto"/>
              <w:jc w:val="center"/>
              <w:rPr>
                <w:rFonts w:ascii="Garamond" w:eastAsia="Times New Roman" w:hAnsi="Garamond" w:cs="Times New Roman"/>
                <w:b/>
                <w:bCs/>
                <w:color w:val="00000A"/>
                <w:sz w:val="24"/>
                <w:szCs w:val="24"/>
              </w:rPr>
            </w:pPr>
            <w:r w:rsidRPr="00330AC3">
              <w:rPr>
                <w:rFonts w:ascii="Garamond" w:eastAsia="Times New Roman" w:hAnsi="Garamond" w:cs="Times New Roman"/>
                <w:b/>
                <w:bCs/>
                <w:color w:val="00000A"/>
                <w:sz w:val="24"/>
                <w:szCs w:val="24"/>
              </w:rPr>
              <w:t>LIZ WERNER</w:t>
            </w:r>
          </w:p>
          <w:p w14:paraId="38FEE6DF" w14:textId="1D0C232C" w:rsidR="00D534AF" w:rsidRPr="00330AC3" w:rsidRDefault="00D534AF" w:rsidP="00330AC3">
            <w:pPr>
              <w:spacing w:line="36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  <w:r w:rsidRPr="00330AC3">
              <w:rPr>
                <w:rFonts w:ascii="Garamond" w:eastAsia="Times New Roman" w:hAnsi="Garamond" w:cs="Times New Roman"/>
                <w:b/>
                <w:bCs/>
                <w:color w:val="00000A"/>
                <w:sz w:val="24"/>
                <w:szCs w:val="24"/>
              </w:rPr>
              <w:t>OAB/RJ 184.888</w:t>
            </w:r>
          </w:p>
        </w:tc>
        <w:tc>
          <w:tcPr>
            <w:tcW w:w="4814" w:type="dxa"/>
          </w:tcPr>
          <w:p w14:paraId="018D52D3" w14:textId="77777777" w:rsidR="00D534AF" w:rsidRPr="00330AC3" w:rsidRDefault="00D534AF" w:rsidP="00330AC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Garamond" w:hAnsi="Garamond"/>
                <w:b/>
                <w:bCs/>
              </w:rPr>
            </w:pPr>
            <w:r w:rsidRPr="00330AC3">
              <w:rPr>
                <w:rFonts w:ascii="Garamond" w:hAnsi="Garamond"/>
                <w:b/>
                <w:bCs/>
                <w:color w:val="000000"/>
              </w:rPr>
              <w:t>THIAGO JOSÉ AGUIAR DA SILVA</w:t>
            </w:r>
          </w:p>
          <w:p w14:paraId="25AF0B7F" w14:textId="77777777" w:rsidR="00D534AF" w:rsidRPr="00330AC3" w:rsidRDefault="00D534AF" w:rsidP="00330AC3">
            <w:pPr>
              <w:pStyle w:val="NormalWeb"/>
              <w:spacing w:before="0" w:beforeAutospacing="0" w:after="0" w:afterAutospacing="0" w:line="360" w:lineRule="auto"/>
              <w:jc w:val="center"/>
              <w:rPr>
                <w:rFonts w:ascii="Garamond" w:hAnsi="Garamond"/>
                <w:b/>
                <w:bCs/>
              </w:rPr>
            </w:pPr>
            <w:r w:rsidRPr="00330AC3">
              <w:rPr>
                <w:rFonts w:ascii="Garamond" w:hAnsi="Garamond"/>
                <w:b/>
                <w:bCs/>
                <w:color w:val="000000"/>
              </w:rPr>
              <w:t>OAB/RJ 213.181</w:t>
            </w:r>
          </w:p>
          <w:p w14:paraId="7359F2C4" w14:textId="4A4AF752" w:rsidR="00D534AF" w:rsidRPr="00330AC3" w:rsidRDefault="00D534AF" w:rsidP="00330AC3">
            <w:pPr>
              <w:spacing w:line="360" w:lineRule="auto"/>
              <w:jc w:val="center"/>
              <w:rPr>
                <w:rFonts w:ascii="Garamond" w:eastAsia="Times New Roman" w:hAnsi="Garamond" w:cs="Times New Roman"/>
                <w:sz w:val="24"/>
                <w:szCs w:val="24"/>
              </w:rPr>
            </w:pPr>
          </w:p>
        </w:tc>
      </w:tr>
    </w:tbl>
    <w:p w14:paraId="000AD75E" w14:textId="77777777" w:rsidR="00D534AF" w:rsidRDefault="00D534AF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</w:rPr>
      </w:pPr>
    </w:p>
    <w:p w14:paraId="22A1CB42" w14:textId="77777777" w:rsid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</w:rPr>
      </w:pPr>
    </w:p>
    <w:p w14:paraId="66C6C4C0" w14:textId="77777777" w:rsidR="00330AC3" w:rsidRDefault="00330AC3" w:rsidP="00330AC3">
      <w:pPr>
        <w:spacing w:after="0" w:line="360" w:lineRule="auto"/>
        <w:jc w:val="center"/>
        <w:rPr>
          <w:rFonts w:ascii="Garamond" w:eastAsia="Times New Roman" w:hAnsi="Garamond" w:cs="Times New Roman"/>
          <w:sz w:val="24"/>
          <w:szCs w:val="24"/>
        </w:rPr>
      </w:pPr>
    </w:p>
    <w:p w14:paraId="3FCC23DD" w14:textId="388735DA" w:rsidR="00803950" w:rsidRPr="00330AC3" w:rsidRDefault="00803950" w:rsidP="00330AC3">
      <w:pPr>
        <w:pStyle w:val="NormalWeb"/>
        <w:spacing w:before="0" w:beforeAutospacing="0" w:after="0" w:afterAutospacing="0" w:line="360" w:lineRule="auto"/>
        <w:rPr>
          <w:rFonts w:ascii="Garamond" w:hAnsi="Garamond"/>
        </w:rPr>
      </w:pPr>
    </w:p>
    <w:sectPr w:rsidR="00803950" w:rsidRPr="00330AC3">
      <w:headerReference w:type="default" r:id="rId8"/>
      <w:footerReference w:type="default" r:id="rId9"/>
      <w:pgSz w:w="11906" w:h="16838"/>
      <w:pgMar w:top="2127" w:right="1134" w:bottom="720" w:left="1134" w:header="709" w:footer="26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95A439" w14:textId="77777777" w:rsidR="002A5C80" w:rsidRDefault="002A5C80">
      <w:pPr>
        <w:spacing w:after="0" w:line="240" w:lineRule="auto"/>
      </w:pPr>
      <w:r>
        <w:separator/>
      </w:r>
    </w:p>
  </w:endnote>
  <w:endnote w:type="continuationSeparator" w:id="0">
    <w:p w14:paraId="29EF7FF3" w14:textId="77777777" w:rsidR="002A5C80" w:rsidRDefault="002A5C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66B773" w14:textId="77777777" w:rsidR="001E469E" w:rsidRDefault="00F55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0" distB="0" distL="0" distR="0" simplePos="0" relativeHeight="251660288" behindDoc="1" locked="0" layoutInCell="1" hidden="0" allowOverlap="1" wp14:anchorId="0BC73E17" wp14:editId="75A5ADA0">
          <wp:simplePos x="0" y="0"/>
          <wp:positionH relativeFrom="column">
            <wp:posOffset>-616584</wp:posOffset>
          </wp:positionH>
          <wp:positionV relativeFrom="paragraph">
            <wp:posOffset>24130</wp:posOffset>
          </wp:positionV>
          <wp:extent cx="7343775" cy="233045"/>
          <wp:effectExtent l="0" t="0" r="0" b="0"/>
          <wp:wrapNone/>
          <wp:docPr id="12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43775" cy="23304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19879EA" w14:textId="77777777" w:rsidR="001E469E" w:rsidRDefault="00F55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0" distR="0" simplePos="0" relativeHeight="251661312" behindDoc="1" locked="0" layoutInCell="1" hidden="0" allowOverlap="1" wp14:anchorId="7002D8F2" wp14:editId="3849A5A4">
          <wp:simplePos x="0" y="0"/>
          <wp:positionH relativeFrom="column">
            <wp:posOffset>0</wp:posOffset>
          </wp:positionH>
          <wp:positionV relativeFrom="paragraph">
            <wp:posOffset>46990</wp:posOffset>
          </wp:positionV>
          <wp:extent cx="1228090" cy="495300"/>
          <wp:effectExtent l="0" t="0" r="0" b="0"/>
          <wp:wrapNone/>
          <wp:docPr id="127" name="image6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6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28090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62336" behindDoc="1" locked="0" layoutInCell="1" hidden="0" allowOverlap="1" wp14:anchorId="7C644371" wp14:editId="2D7C2F1A">
          <wp:simplePos x="0" y="0"/>
          <wp:positionH relativeFrom="column">
            <wp:posOffset>4653280</wp:posOffset>
          </wp:positionH>
          <wp:positionV relativeFrom="paragraph">
            <wp:posOffset>46990</wp:posOffset>
          </wp:positionV>
          <wp:extent cx="1459865" cy="590550"/>
          <wp:effectExtent l="0" t="0" r="0" b="0"/>
          <wp:wrapNone/>
          <wp:docPr id="12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9865" cy="5905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189D641" w14:textId="77777777" w:rsidR="001E469E" w:rsidRDefault="001E469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</w:p>
  <w:p w14:paraId="4FED6A0F" w14:textId="5A32E672" w:rsidR="001E469E" w:rsidRDefault="00F550B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color w:val="000000"/>
      </w:rPr>
      <w:t xml:space="preserve">Página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9B6745">
      <w:rPr>
        <w:b/>
        <w:noProof/>
        <w:color w:val="000000"/>
      </w:rPr>
      <w:t>4</w:t>
    </w:r>
    <w:r>
      <w:rPr>
        <w:b/>
        <w:color w:val="000000"/>
      </w:rPr>
      <w:fldChar w:fldCharType="end"/>
    </w:r>
    <w:r>
      <w:rPr>
        <w:color w:val="000000"/>
      </w:rPr>
      <w:t xml:space="preserve"> de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9B6745">
      <w:rPr>
        <w:b/>
        <w:noProof/>
        <w:color w:val="000000"/>
      </w:rPr>
      <w:t>4</w:t>
    </w:r>
    <w:r>
      <w:rPr>
        <w:b/>
        <w:color w:val="000000"/>
      </w:rPr>
      <w:fldChar w:fldCharType="end"/>
    </w:r>
    <w:r>
      <w:rPr>
        <w:noProof/>
      </w:rPr>
      <w:drawing>
        <wp:anchor distT="0" distB="0" distL="114300" distR="114300" simplePos="0" relativeHeight="251663360" behindDoc="0" locked="0" layoutInCell="1" hidden="0" allowOverlap="1" wp14:anchorId="1027C566" wp14:editId="60CCA26F">
          <wp:simplePos x="0" y="0"/>
          <wp:positionH relativeFrom="column">
            <wp:posOffset>1</wp:posOffset>
          </wp:positionH>
          <wp:positionV relativeFrom="paragraph">
            <wp:posOffset>58420</wp:posOffset>
          </wp:positionV>
          <wp:extent cx="991235" cy="238125"/>
          <wp:effectExtent l="0" t="0" r="0" b="0"/>
          <wp:wrapNone/>
          <wp:docPr id="12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91235" cy="2381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149635" w14:textId="77777777" w:rsidR="002A5C80" w:rsidRDefault="002A5C80">
      <w:pPr>
        <w:spacing w:after="0" w:line="240" w:lineRule="auto"/>
      </w:pPr>
      <w:r>
        <w:separator/>
      </w:r>
    </w:p>
  </w:footnote>
  <w:footnote w:type="continuationSeparator" w:id="0">
    <w:p w14:paraId="60460847" w14:textId="77777777" w:rsidR="002A5C80" w:rsidRDefault="002A5C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B5DB21" w14:textId="4ACF9D64" w:rsidR="001E469E" w:rsidRDefault="000F280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firstLine="142"/>
      <w:rPr>
        <w:color w:val="000000"/>
      </w:rPr>
    </w:pPr>
    <w:r>
      <w:rPr>
        <w:noProof/>
      </w:rPr>
      <w:drawing>
        <wp:anchor distT="0" distB="0" distL="114300" distR="114300" simplePos="0" relativeHeight="251665408" behindDoc="1" locked="0" layoutInCell="1" allowOverlap="1" wp14:anchorId="19D5DFC5" wp14:editId="3CF653A5">
          <wp:simplePos x="0" y="0"/>
          <wp:positionH relativeFrom="column">
            <wp:posOffset>-4098</wp:posOffset>
          </wp:positionH>
          <wp:positionV relativeFrom="paragraph">
            <wp:posOffset>-320819</wp:posOffset>
          </wp:positionV>
          <wp:extent cx="1276350" cy="1276350"/>
          <wp:effectExtent l="0" t="0" r="0" b="0"/>
          <wp:wrapNone/>
          <wp:docPr id="1646059390" name="Picture 1646059390" descr="A logo of a company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46059390" name="Picture 1646059390" descr="A logo of a company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1276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F550BB">
      <w:rPr>
        <w:noProof/>
      </w:rPr>
      <w:drawing>
        <wp:anchor distT="0" distB="0" distL="0" distR="0" simplePos="0" relativeHeight="251658240" behindDoc="1" locked="0" layoutInCell="1" hidden="0" allowOverlap="1" wp14:anchorId="16B58269" wp14:editId="4C58B948">
          <wp:simplePos x="0" y="0"/>
          <wp:positionH relativeFrom="column">
            <wp:posOffset>0</wp:posOffset>
          </wp:positionH>
          <wp:positionV relativeFrom="paragraph">
            <wp:posOffset>-325754</wp:posOffset>
          </wp:positionV>
          <wp:extent cx="1219200" cy="1093867"/>
          <wp:effectExtent l="0" t="0" r="0" b="0"/>
          <wp:wrapNone/>
          <wp:docPr id="128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19200" cy="1093867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F550BB">
      <w:rPr>
        <w:noProof/>
      </w:rPr>
      <w:drawing>
        <wp:anchor distT="0" distB="0" distL="114300" distR="114300" simplePos="0" relativeHeight="251659264" behindDoc="0" locked="0" layoutInCell="1" hidden="0" allowOverlap="1" wp14:anchorId="02C8CF69" wp14:editId="6CC990DC">
          <wp:simplePos x="0" y="0"/>
          <wp:positionH relativeFrom="column">
            <wp:posOffset>4843780</wp:posOffset>
          </wp:positionH>
          <wp:positionV relativeFrom="paragraph">
            <wp:posOffset>-343534</wp:posOffset>
          </wp:positionV>
          <wp:extent cx="1275715" cy="1046480"/>
          <wp:effectExtent l="0" t="0" r="0" b="0"/>
          <wp:wrapSquare wrapText="bothSides" distT="0" distB="0" distL="114300" distR="114300"/>
          <wp:docPr id="123" name="image5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5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5715" cy="10464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D1FC6"/>
    <w:multiLevelType w:val="multilevel"/>
    <w:tmpl w:val="6AAA7B72"/>
    <w:lvl w:ilvl="0">
      <w:start w:val="23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98132A4"/>
    <w:multiLevelType w:val="multilevel"/>
    <w:tmpl w:val="D842DD96"/>
    <w:lvl w:ilvl="0">
      <w:start w:val="1"/>
      <w:numFmt w:val="lowerRoman"/>
      <w:lvlText w:val="%1."/>
      <w:lvlJc w:val="left"/>
      <w:pPr>
        <w:ind w:left="1854" w:hanging="720"/>
      </w:pPr>
      <w:rPr>
        <w:rFonts w:ascii="Cambria" w:eastAsia="Cambria" w:hAnsi="Cambria" w:cs="Cambria"/>
      </w:rPr>
    </w:lvl>
    <w:lvl w:ilvl="1">
      <w:start w:val="1"/>
      <w:numFmt w:val="lowerLetter"/>
      <w:lvlText w:val="%2."/>
      <w:lvlJc w:val="left"/>
      <w:pPr>
        <w:ind w:left="2214" w:hanging="360"/>
      </w:pPr>
    </w:lvl>
    <w:lvl w:ilvl="2">
      <w:start w:val="1"/>
      <w:numFmt w:val="lowerRoman"/>
      <w:lvlText w:val="%3."/>
      <w:lvlJc w:val="right"/>
      <w:pPr>
        <w:ind w:left="2934" w:hanging="180"/>
      </w:pPr>
    </w:lvl>
    <w:lvl w:ilvl="3">
      <w:start w:val="1"/>
      <w:numFmt w:val="decimal"/>
      <w:lvlText w:val="%4."/>
      <w:lvlJc w:val="left"/>
      <w:pPr>
        <w:ind w:left="3654" w:hanging="360"/>
      </w:pPr>
    </w:lvl>
    <w:lvl w:ilvl="4">
      <w:start w:val="1"/>
      <w:numFmt w:val="lowerLetter"/>
      <w:lvlText w:val="%5."/>
      <w:lvlJc w:val="left"/>
      <w:pPr>
        <w:ind w:left="4374" w:hanging="360"/>
      </w:pPr>
    </w:lvl>
    <w:lvl w:ilvl="5">
      <w:start w:val="1"/>
      <w:numFmt w:val="lowerRoman"/>
      <w:lvlText w:val="%6."/>
      <w:lvlJc w:val="right"/>
      <w:pPr>
        <w:ind w:left="5094" w:hanging="180"/>
      </w:pPr>
    </w:lvl>
    <w:lvl w:ilvl="6">
      <w:start w:val="1"/>
      <w:numFmt w:val="decimal"/>
      <w:lvlText w:val="%7."/>
      <w:lvlJc w:val="left"/>
      <w:pPr>
        <w:ind w:left="5814" w:hanging="360"/>
      </w:pPr>
    </w:lvl>
    <w:lvl w:ilvl="7">
      <w:start w:val="1"/>
      <w:numFmt w:val="lowerLetter"/>
      <w:lvlText w:val="%8."/>
      <w:lvlJc w:val="left"/>
      <w:pPr>
        <w:ind w:left="6534" w:hanging="360"/>
      </w:pPr>
    </w:lvl>
    <w:lvl w:ilvl="8">
      <w:start w:val="1"/>
      <w:numFmt w:val="lowerRoman"/>
      <w:lvlText w:val="%9."/>
      <w:lvlJc w:val="right"/>
      <w:pPr>
        <w:ind w:left="7254" w:hanging="180"/>
      </w:pPr>
    </w:lvl>
  </w:abstractNum>
  <w:abstractNum w:abstractNumId="2" w15:restartNumberingAfterBreak="0">
    <w:nsid w:val="27C84F5F"/>
    <w:multiLevelType w:val="multilevel"/>
    <w:tmpl w:val="62ACF830"/>
    <w:lvl w:ilvl="0">
      <w:start w:val="1"/>
      <w:numFmt w:val="upperRoman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43577587">
    <w:abstractNumId w:val="0"/>
  </w:num>
  <w:num w:numId="2" w16cid:durableId="1806729026">
    <w:abstractNumId w:val="1"/>
  </w:num>
  <w:num w:numId="3" w16cid:durableId="17676512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469E"/>
    <w:rsid w:val="00074000"/>
    <w:rsid w:val="000C2F13"/>
    <w:rsid w:val="000D3E64"/>
    <w:rsid w:val="000F280A"/>
    <w:rsid w:val="00121354"/>
    <w:rsid w:val="00182F75"/>
    <w:rsid w:val="001E469E"/>
    <w:rsid w:val="00284931"/>
    <w:rsid w:val="002A5C80"/>
    <w:rsid w:val="00330AC3"/>
    <w:rsid w:val="00337C02"/>
    <w:rsid w:val="00370984"/>
    <w:rsid w:val="00421B28"/>
    <w:rsid w:val="004D0C3E"/>
    <w:rsid w:val="00535BE9"/>
    <w:rsid w:val="0054770D"/>
    <w:rsid w:val="005A724F"/>
    <w:rsid w:val="00765A3F"/>
    <w:rsid w:val="00787AA4"/>
    <w:rsid w:val="007D64B5"/>
    <w:rsid w:val="00803950"/>
    <w:rsid w:val="00805B06"/>
    <w:rsid w:val="008245E8"/>
    <w:rsid w:val="0084223B"/>
    <w:rsid w:val="00856237"/>
    <w:rsid w:val="00885BFB"/>
    <w:rsid w:val="008D156C"/>
    <w:rsid w:val="00970D28"/>
    <w:rsid w:val="009B6745"/>
    <w:rsid w:val="00B76638"/>
    <w:rsid w:val="00BC290E"/>
    <w:rsid w:val="00C43117"/>
    <w:rsid w:val="00C45872"/>
    <w:rsid w:val="00C45F58"/>
    <w:rsid w:val="00D534AF"/>
    <w:rsid w:val="00E75EE0"/>
    <w:rsid w:val="00F550BB"/>
    <w:rsid w:val="00FB0678"/>
    <w:rsid w:val="00FD1F26"/>
    <w:rsid w:val="00FE651B"/>
    <w:rsid w:val="00FE6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227C26"/>
  <w15:docId w15:val="{4D14D923-A608-499F-9674-13C7E22FB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740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047E"/>
  </w:style>
  <w:style w:type="paragraph" w:styleId="Footer">
    <w:name w:val="footer"/>
    <w:basedOn w:val="Normal"/>
    <w:link w:val="FooterChar"/>
    <w:uiPriority w:val="99"/>
    <w:unhideWhenUsed/>
    <w:rsid w:val="007404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047E"/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NormalWeb">
    <w:name w:val="Normal (Web)"/>
    <w:basedOn w:val="Normal"/>
    <w:uiPriority w:val="99"/>
    <w:unhideWhenUsed/>
    <w:rsid w:val="00421B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534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458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6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070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237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37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7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1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53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24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082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076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6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2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2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4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0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5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9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995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05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539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5849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5533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585886">
                                  <w:marLeft w:val="0"/>
                                  <w:marRight w:val="0"/>
                                  <w:marTop w:val="375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063705">
                                      <w:blockQuote w:val="1"/>
                                      <w:marLeft w:val="420"/>
                                      <w:marRight w:val="0"/>
                                      <w:marTop w:val="630"/>
                                      <w:marBottom w:val="630"/>
                                      <w:divBdr>
                                        <w:top w:val="single" w:sz="6" w:space="31" w:color="ECF0F1"/>
                                        <w:left w:val="single" w:sz="6" w:space="31" w:color="ECF0F1"/>
                                        <w:bottom w:val="single" w:sz="6" w:space="31" w:color="ECF0F1"/>
                                        <w:right w:val="single" w:sz="6" w:space="31" w:color="ECF0F1"/>
                                      </w:divBdr>
                                    </w:div>
                                    <w:div w:id="1849833702">
                                      <w:marLeft w:val="75"/>
                                      <w:marRight w:val="75"/>
                                      <w:marTop w:val="75"/>
                                      <w:marBottom w:val="75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070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1012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4048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502824291">
                          <w:marLeft w:val="0"/>
                          <w:marRight w:val="0"/>
                          <w:marTop w:val="49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14586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CEEF0"/>
                                <w:left w:val="single" w:sz="6" w:space="31" w:color="ECEEF0"/>
                                <w:bottom w:val="single" w:sz="6" w:space="0" w:color="ECEEF0"/>
                                <w:right w:val="single" w:sz="6" w:space="0" w:color="ECEEF0"/>
                              </w:divBdr>
                            </w:div>
                          </w:divsChild>
                        </w:div>
                        <w:div w:id="658770144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21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6" w:space="0" w:color="ECEEF0"/>
                                <w:left w:val="single" w:sz="6" w:space="31" w:color="ECEEF0"/>
                                <w:bottom w:val="single" w:sz="6" w:space="0" w:color="ECEEF0"/>
                                <w:right w:val="single" w:sz="6" w:space="0" w:color="ECEEF0"/>
                              </w:divBdr>
                            </w:div>
                          </w:divsChild>
                        </w:div>
                        <w:div w:id="390036166">
                          <w:marLeft w:val="0"/>
                          <w:marRight w:val="0"/>
                          <w:marTop w:val="750"/>
                          <w:marBottom w:val="0"/>
                          <w:divBdr>
                            <w:top w:val="single" w:sz="6" w:space="20" w:color="ECEEF0"/>
                            <w:left w:val="single" w:sz="6" w:space="20" w:color="ECEEF0"/>
                            <w:bottom w:val="single" w:sz="6" w:space="20" w:color="ECEEF0"/>
                            <w:right w:val="single" w:sz="6" w:space="20" w:color="ECEEF0"/>
                          </w:divBdr>
                          <w:divsChild>
                            <w:div w:id="283078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4716808">
                          <w:marLeft w:val="0"/>
                          <w:marRight w:val="0"/>
                          <w:marTop w:val="0"/>
                          <w:marBottom w:val="3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6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6428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7582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63488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495241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9375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17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1886091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60942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794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2532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7697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745028869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91594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317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76723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03623514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0921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08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34381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628788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08300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3965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353427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374691172">
                              <w:marLeft w:val="0"/>
                              <w:marRight w:val="225"/>
                              <w:marTop w:val="75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9199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09085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02289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34028698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56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8376497">
                          <w:marLeft w:val="0"/>
                          <w:marRight w:val="0"/>
                          <w:marTop w:val="0"/>
                          <w:marBottom w:val="7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942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16811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7414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800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8541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07032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292566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93815960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962833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337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27225628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477454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505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71026432">
                          <w:marLeft w:val="0"/>
                          <w:marRight w:val="450"/>
                          <w:marTop w:val="1440"/>
                          <w:marBottom w:val="69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397392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470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229612522">
                  <w:marLeft w:val="0"/>
                  <w:marRight w:val="0"/>
                  <w:marTop w:val="0"/>
                  <w:marBottom w:val="0"/>
                  <w:divBdr>
                    <w:top w:val="single" w:sz="6" w:space="23" w:color="1A1A1A"/>
                    <w:left w:val="none" w:sz="0" w:space="0" w:color="auto"/>
                    <w:bottom w:val="none" w:sz="0" w:space="23" w:color="auto"/>
                    <w:right w:val="none" w:sz="0" w:space="0" w:color="auto"/>
                  </w:divBdr>
                  <w:divsChild>
                    <w:div w:id="784881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671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34056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7077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2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284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0880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16158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738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png"/><Relationship Id="rId2" Type="http://schemas.openxmlformats.org/officeDocument/2006/relationships/image" Target="media/image5.png"/><Relationship Id="rId1" Type="http://schemas.openxmlformats.org/officeDocument/2006/relationships/image" Target="media/image4.png"/><Relationship Id="rId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Du2J+chKHWWxo/xZmH17vz/IWjQ==">AMUW2mUk416uSmHYZpiIodn1D49yDumg9NWZB7gFAlwj2ceOIsyz6i2OszlbgtEv6Rvb5zSAhnV+e0oaXQoiZu+SGztzietYxDmXiYfiuuU+1CutEdk3gMF9LpcB+fK/mCvt76Ny/m0a3eQOuqtW7NlDtTZzWZkEyg==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954</Words>
  <Characters>5440</Characters>
  <Application>Microsoft Office Word</Application>
  <DocSecurity>0</DocSecurity>
  <Lines>45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 W Formaggini</dc:creator>
  <cp:lastModifiedBy>Liz Werner</cp:lastModifiedBy>
  <cp:revision>2</cp:revision>
  <cp:lastPrinted>2023-08-07T10:40:00Z</cp:lastPrinted>
  <dcterms:created xsi:type="dcterms:W3CDTF">2026-05-02T16:50:00Z</dcterms:created>
  <dcterms:modified xsi:type="dcterms:W3CDTF">2026-05-02T16:50:00Z</dcterms:modified>
</cp:coreProperties>
</file>