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0" w:right="144" w:firstLine="0"/>
        <w:jc w:val="right"/>
        <w:rPr>
          <w:rFonts w:ascii="LM Roman 10"/>
          <w:sz w:val="20"/>
        </w:rPr>
      </w:pPr>
      <w:r>
        <w:rPr>
          <w:rFonts w:ascii="LM Roman 10"/>
          <w:w w:val="95"/>
          <w:sz w:val="20"/>
        </w:rPr>
        <w:t>50</w:t>
      </w:r>
    </w:p>
    <w:p>
      <w:pPr>
        <w:pStyle w:val="BodyText"/>
        <w:spacing w:line="240" w:lineRule="auto" w:before="8"/>
        <w:ind w:left="0"/>
        <w:rPr>
          <w:rFonts w:ascii="LM Roman 10"/>
        </w:rPr>
      </w:pPr>
    </w:p>
    <w:p>
      <w:pPr>
        <w:pStyle w:val="Title"/>
      </w:pPr>
      <w:r>
        <w:rPr/>
        <w:t>Referências</w:t>
      </w:r>
    </w:p>
    <w:p>
      <w:pPr>
        <w:pStyle w:val="BodyText"/>
        <w:spacing w:line="240" w:lineRule="auto"/>
        <w:ind w:left="0"/>
        <w:rPr>
          <w:rFonts w:ascii="LM Sans 17"/>
          <w:sz w:val="20"/>
        </w:rPr>
      </w:pPr>
    </w:p>
    <w:p>
      <w:pPr>
        <w:pStyle w:val="BodyText"/>
        <w:spacing w:line="240" w:lineRule="auto" w:before="7"/>
        <w:ind w:left="0"/>
        <w:rPr>
          <w:rFonts w:ascii="LM Sans 17"/>
          <w:sz w:val="26"/>
        </w:rPr>
      </w:pPr>
    </w:p>
    <w:p>
      <w:pPr>
        <w:pStyle w:val="BodyText"/>
        <w:spacing w:before="99"/>
      </w:pPr>
      <w:r>
        <w:rPr/>
        <w:t>ASSOCIAÇÃO BRASILEIRA DE NORMAS TÉCNICAS. </w:t>
      </w:r>
      <w:r>
        <w:rPr>
          <w:i/>
        </w:rPr>
        <w:t>NBR 6028 </w:t>
      </w:r>
      <w:r>
        <w:rPr/>
        <w:t>: Resumo -</w:t>
      </w:r>
    </w:p>
    <w:p>
      <w:pPr>
        <w:pStyle w:val="BodyText"/>
        <w:spacing w:line="312" w:lineRule="exact"/>
      </w:pPr>
      <w:r>
        <w:rPr/>
        <w:t>apresentação. Rio de Janeiro, 2003. 2 p. Citado na página </w:t>
      </w:r>
      <w:r>
        <w:rPr>
          <w:color w:val="2905C3"/>
        </w:rPr>
        <w:t>6</w:t>
      </w:r>
      <w:r>
        <w:rPr/>
        <w:t>.</w:t>
      </w:r>
    </w:p>
    <w:p>
      <w:pPr>
        <w:pStyle w:val="BodyText"/>
        <w:spacing w:before="144"/>
      </w:pPr>
      <w:r>
        <w:rPr/>
        <w:t>ASSOCIAÇÃO BRASILEIRA DE NORMAS TÉCNICAS. </w:t>
      </w:r>
      <w:r>
        <w:rPr>
          <w:i/>
        </w:rPr>
        <w:t>NBR 14724 </w:t>
      </w:r>
      <w:r>
        <w:rPr/>
        <w:t>: Informação</w:t>
      </w:r>
    </w:p>
    <w:p>
      <w:pPr>
        <w:pStyle w:val="BodyText"/>
        <w:spacing w:line="206" w:lineRule="auto" w:before="12"/>
      </w:pPr>
      <w:r>
        <w:rPr/>
        <w:t>e documentação — trabalhos acadêmicos — apresentação. Rio de Janeiro, 2005. 9 p. Citado na página </w:t>
      </w:r>
      <w:r>
        <w:rPr>
          <w:color w:val="2905C3"/>
        </w:rPr>
        <w:t>50</w:t>
      </w:r>
      <w:r>
        <w:rPr/>
        <w:t>.</w:t>
      </w:r>
    </w:p>
    <w:p>
      <w:pPr>
        <w:pStyle w:val="BodyText"/>
        <w:spacing w:before="152"/>
      </w:pPr>
      <w:r>
        <w:rPr/>
        <w:t>ASSOCIAÇÃO BRASILEIRA DE NORMAS TÉCNICAS. </w:t>
      </w:r>
      <w:r>
        <w:rPr>
          <w:i/>
        </w:rPr>
        <w:t>NBR 14724 </w:t>
      </w:r>
      <w:r>
        <w:rPr/>
        <w:t>: Informação e</w:t>
      </w:r>
    </w:p>
    <w:p>
      <w:pPr>
        <w:pStyle w:val="BodyText"/>
        <w:spacing w:line="206" w:lineRule="auto" w:before="12"/>
      </w:pPr>
      <w:r>
        <w:rPr/>
        <w:t>documentação — trabalhos acadêmicos — apresentação. Rio de Janeiro, 2011. 15 p. Substitui a Ref. </w:t>
      </w:r>
      <w:r>
        <w:rPr>
          <w:color w:val="2905C3"/>
        </w:rPr>
        <w:t>ABNT </w:t>
      </w:r>
      <w:r>
        <w:rPr/>
        <w:t>(</w:t>
      </w:r>
      <w:r>
        <w:rPr>
          <w:color w:val="2905C3"/>
        </w:rPr>
        <w:t>2005</w:t>
      </w:r>
      <w:r>
        <w:rPr/>
        <w:t>). Citado na página </w:t>
      </w:r>
      <w:r>
        <w:rPr>
          <w:color w:val="2905C3"/>
        </w:rPr>
        <w:t>42</w:t>
      </w:r>
      <w:r>
        <w:rPr/>
        <w:t>.</w:t>
      </w:r>
    </w:p>
    <w:p>
      <w:pPr>
        <w:pStyle w:val="BodyText"/>
        <w:spacing w:before="152"/>
      </w:pPr>
      <w:r>
        <w:rPr/>
        <w:t>CARIOCA, J.; </w:t>
      </w:r>
      <w:r>
        <w:rPr>
          <w:spacing w:val="-9"/>
        </w:rPr>
        <w:t>SILVA, </w:t>
      </w:r>
      <w:r>
        <w:rPr/>
        <w:t>J.; DOE, J.; MOUSE, M. </w:t>
      </w:r>
      <w:r>
        <w:rPr>
          <w:i/>
        </w:rPr>
        <w:t>O ET AL4</w:t>
      </w:r>
      <w:r>
        <w:rPr/>
        <w:t>. [S.l.]: Disneyland,</w:t>
      </w:r>
      <w:r>
        <w:rPr>
          <w:spacing w:val="74"/>
        </w:rPr>
        <w:t> </w:t>
      </w:r>
      <w:r>
        <w:rPr/>
        <w:t>2013.</w:t>
      </w:r>
    </w:p>
    <w:p>
      <w:pPr>
        <w:pStyle w:val="BodyText"/>
        <w:spacing w:line="312" w:lineRule="exact"/>
      </w:pPr>
      <w:r>
        <w:rPr/>
        <w:t>Citado 4 vezes nas páginas </w:t>
      </w:r>
      <w:r>
        <w:rPr>
          <w:color w:val="2905C3"/>
        </w:rPr>
        <w:t>39 </w:t>
      </w:r>
      <w:r>
        <w:rPr/>
        <w:t>e </w:t>
      </w:r>
      <w:r>
        <w:rPr>
          <w:color w:val="2905C3"/>
        </w:rPr>
        <w:t>40</w:t>
      </w:r>
      <w:r>
        <w:rPr/>
        <w:t>.</w:t>
      </w:r>
    </w:p>
    <w:p>
      <w:pPr>
        <w:spacing w:line="204" w:lineRule="auto" w:before="184"/>
        <w:ind w:left="100" w:right="0" w:firstLine="27"/>
        <w:jc w:val="left"/>
        <w:rPr>
          <w:sz w:val="24"/>
        </w:rPr>
      </w:pPr>
      <w:r>
        <w:rPr>
          <w:sz w:val="24"/>
        </w:rPr>
        <w:t>JACOBSON, I.; BOOCH, G.; RUMBAUGH, J. </w:t>
      </w:r>
      <w:r>
        <w:rPr>
          <w:i/>
          <w:sz w:val="24"/>
        </w:rPr>
        <w:t>The Unified Modeling Language User </w:t>
      </w:r>
      <w:r>
        <w:rPr>
          <w:i/>
          <w:sz w:val="24"/>
        </w:rPr>
        <w:t>Guide</w:t>
      </w:r>
      <w:r>
        <w:rPr>
          <w:sz w:val="24"/>
        </w:rPr>
        <w:t>. Redwood City, CA, USA: Addison-Wesley Professional, 1998. Citado 4 vezes nas páginas </w:t>
      </w:r>
      <w:r>
        <w:rPr>
          <w:color w:val="2905C3"/>
          <w:sz w:val="24"/>
        </w:rPr>
        <w:t>39 </w:t>
      </w:r>
      <w:r>
        <w:rPr>
          <w:sz w:val="24"/>
        </w:rPr>
        <w:t>e </w:t>
      </w:r>
      <w:r>
        <w:rPr>
          <w:color w:val="2905C3"/>
          <w:sz w:val="24"/>
        </w:rPr>
        <w:t>40</w:t>
      </w:r>
      <w:r>
        <w:rPr>
          <w:sz w:val="24"/>
        </w:rPr>
        <w:t>.</w:t>
      </w:r>
    </w:p>
    <w:p>
      <w:pPr>
        <w:spacing w:line="314" w:lineRule="exact" w:before="154"/>
        <w:ind w:left="128" w:right="0" w:firstLine="0"/>
        <w:jc w:val="left"/>
        <w:rPr>
          <w:sz w:val="24"/>
        </w:rPr>
      </w:pPr>
      <w:r>
        <w:rPr>
          <w:sz w:val="24"/>
        </w:rPr>
        <w:t>OPENEHR. </w:t>
      </w:r>
      <w:r>
        <w:rPr>
          <w:i/>
          <w:sz w:val="24"/>
        </w:rPr>
        <w:t>RM Composition Entry</w:t>
      </w:r>
      <w:r>
        <w:rPr>
          <w:sz w:val="24"/>
        </w:rPr>
        <w:t>. London: University College, 2018.</w:t>
      </w:r>
      <w:r>
        <w:rPr>
          <w:spacing w:val="76"/>
          <w:sz w:val="24"/>
        </w:rPr>
        <w:t> </w:t>
      </w:r>
      <w:r>
        <w:rPr>
          <w:sz w:val="24"/>
        </w:rPr>
        <w:t>Disponível</w:t>
      </w:r>
    </w:p>
    <w:p>
      <w:pPr>
        <w:pStyle w:val="BodyText"/>
        <w:tabs>
          <w:tab w:pos="7419" w:val="left" w:leader="none"/>
        </w:tabs>
        <w:spacing w:line="206" w:lineRule="auto" w:before="13"/>
        <w:ind w:left="116" w:right="213" w:firstLine="11"/>
      </w:pPr>
      <w:r>
        <w:rPr/>
        <w:t>em:</w:t>
      </w:r>
      <w:r>
        <w:rPr>
          <w:spacing w:val="-5"/>
        </w:rPr>
        <w:t> </w:t>
      </w:r>
      <w:r>
        <w:rPr>
          <w:color w:val="2905C3"/>
        </w:rPr>
        <w:t>&lt;h</w:t>
      </w:r>
      <w:hyperlink r:id="rId5">
        <w:r>
          <w:rPr>
            <w:color w:val="2905C3"/>
          </w:rPr>
          <w:t>ttps://www.openehr.org/releases/trunk/UML/#Diagrams</w:t>
        </w:r>
      </w:hyperlink>
      <w:r>
        <w:rPr>
          <w:color w:val="2905C3"/>
        </w:rPr>
        <w:t>_</w:t>
      </w:r>
      <w:r>
        <w:rPr>
          <w:color w:val="2905C3"/>
          <w:u w:val="single" w:color="2804C2"/>
        </w:rPr>
        <w:t> </w:t>
        <w:tab/>
      </w:r>
      <w:r>
        <w:rPr>
          <w:color w:val="2905C3"/>
        </w:rPr>
        <w:t>18_1_83e026d_ 1433773264186_722854_6498&gt;</w:t>
      </w:r>
      <w:r>
        <w:rPr/>
        <w:t>. Acesso em: 25 jul. 2018. Citado na página</w:t>
      </w:r>
      <w:r>
        <w:rPr>
          <w:spacing w:val="-5"/>
        </w:rPr>
        <w:t> </w:t>
      </w:r>
      <w:r>
        <w:rPr>
          <w:color w:val="2905C3"/>
        </w:rPr>
        <w:t>46</w:t>
      </w:r>
      <w:r>
        <w:rPr/>
        <w:t>.</w:t>
      </w:r>
    </w:p>
    <w:p>
      <w:pPr>
        <w:spacing w:line="204" w:lineRule="auto" w:before="192"/>
        <w:ind w:left="128" w:right="12" w:firstLine="0"/>
        <w:jc w:val="left"/>
        <w:rPr>
          <w:sz w:val="24"/>
        </w:rPr>
      </w:pPr>
      <w:r>
        <w:rPr>
          <w:sz w:val="24"/>
        </w:rPr>
        <w:t>POWELL, G. </w:t>
      </w:r>
      <w:r>
        <w:rPr>
          <w:i/>
          <w:sz w:val="24"/>
        </w:rPr>
        <w:t>Beginning Database Design</w:t>
      </w:r>
      <w:r>
        <w:rPr>
          <w:sz w:val="24"/>
        </w:rPr>
        <w:t>. New </w:t>
      </w:r>
      <w:r>
        <w:rPr>
          <w:spacing w:val="-5"/>
          <w:sz w:val="24"/>
        </w:rPr>
        <w:t>York, </w:t>
      </w:r>
      <w:r>
        <w:rPr>
          <w:sz w:val="24"/>
        </w:rPr>
        <w:t>NY, USA: Wiley Publishing, 2006. Citado 4 vezes nas páginas </w:t>
      </w:r>
      <w:r>
        <w:rPr>
          <w:color w:val="2905C3"/>
          <w:sz w:val="24"/>
        </w:rPr>
        <w:t>39 </w:t>
      </w:r>
      <w:r>
        <w:rPr>
          <w:sz w:val="24"/>
        </w:rPr>
        <w:t>e </w:t>
      </w:r>
      <w:r>
        <w:rPr>
          <w:color w:val="2905C3"/>
          <w:sz w:val="24"/>
        </w:rPr>
        <w:t>40</w:t>
      </w:r>
      <w:r>
        <w:rPr>
          <w:sz w:val="24"/>
        </w:rPr>
        <w:t>.</w:t>
      </w:r>
    </w:p>
    <w:p>
      <w:pPr>
        <w:pStyle w:val="BodyText"/>
        <w:spacing w:line="204" w:lineRule="auto" w:before="194"/>
        <w:ind w:left="122" w:right="213" w:firstLine="5"/>
      </w:pPr>
      <w:r>
        <w:rPr/>
        <w:t>SCHWABER, K.; SUTHERLAND, J. </w:t>
      </w:r>
      <w:r>
        <w:rPr>
          <w:i/>
        </w:rPr>
        <w:t>Scrum Guide</w:t>
      </w:r>
      <w:r>
        <w:rPr/>
        <w:t>. Boston, MA, USA: Scrum.Org, 2013. Citado 7 vezes nas páginas </w:t>
      </w:r>
      <w:r>
        <w:rPr>
          <w:color w:val="2905C3"/>
        </w:rPr>
        <w:t>39 </w:t>
      </w:r>
      <w:r>
        <w:rPr/>
        <w:t>e </w:t>
      </w:r>
      <w:r>
        <w:rPr>
          <w:color w:val="2905C3"/>
        </w:rPr>
        <w:t>40</w:t>
      </w:r>
      <w:r>
        <w:rPr/>
        <w:t>.</w:t>
      </w:r>
    </w:p>
    <w:p>
      <w:pPr>
        <w:pStyle w:val="BodyText"/>
        <w:spacing w:before="154"/>
      </w:pPr>
      <w:r>
        <w:rPr/>
        <w:t>SILVA, J.; DOE, J.; CARIOCA, J.; MOUSE, M.; PARKER, P. </w:t>
      </w:r>
      <w:r>
        <w:rPr>
          <w:i/>
        </w:rPr>
        <w:t>O ET AL5</w:t>
      </w:r>
      <w:r>
        <w:rPr/>
        <w:t>. [S.l.]:</w:t>
      </w:r>
    </w:p>
    <w:p>
      <w:pPr>
        <w:pStyle w:val="BodyText"/>
        <w:spacing w:line="312" w:lineRule="exact"/>
      </w:pPr>
      <w:r>
        <w:rPr/>
        <w:t>DisneyWorld, 2013. Citado 4 vezes nas páginas </w:t>
      </w:r>
      <w:r>
        <w:rPr>
          <w:color w:val="2905C3"/>
        </w:rPr>
        <w:t>39 </w:t>
      </w:r>
      <w:r>
        <w:rPr/>
        <w:t>e </w:t>
      </w:r>
      <w:r>
        <w:rPr>
          <w:color w:val="2905C3"/>
        </w:rPr>
        <w:t>40</w:t>
      </w:r>
      <w:r>
        <w:rPr/>
        <w:t>.</w:t>
      </w:r>
    </w:p>
    <w:p>
      <w:pPr>
        <w:spacing w:line="204" w:lineRule="auto" w:before="185"/>
        <w:ind w:left="128" w:right="0" w:firstLine="0"/>
        <w:jc w:val="left"/>
        <w:rPr>
          <w:sz w:val="24"/>
        </w:rPr>
      </w:pPr>
      <w:r>
        <w:rPr>
          <w:sz w:val="24"/>
        </w:rPr>
        <w:t>URANI, A. et al. </w:t>
      </w:r>
      <w:r>
        <w:rPr>
          <w:i/>
          <w:sz w:val="24"/>
        </w:rPr>
        <w:t>Constituição de uma matriz de contabilidade social para o Brasil</w:t>
      </w:r>
      <w:r>
        <w:rPr>
          <w:sz w:val="24"/>
        </w:rPr>
        <w:t>. Brasília, DF: IPEA, 1994. Citado 4 vezes nas páginas </w:t>
      </w:r>
      <w:r>
        <w:rPr>
          <w:color w:val="2905C3"/>
          <w:sz w:val="24"/>
        </w:rPr>
        <w:t>39 </w:t>
      </w:r>
      <w:r>
        <w:rPr>
          <w:sz w:val="24"/>
        </w:rPr>
        <w:t>e </w:t>
      </w:r>
      <w:r>
        <w:rPr>
          <w:color w:val="2905C3"/>
          <w:sz w:val="24"/>
        </w:rPr>
        <w:t>40</w:t>
      </w:r>
      <w:r>
        <w:rPr>
          <w:sz w:val="24"/>
        </w:rPr>
        <w:t>.</w:t>
      </w:r>
    </w:p>
    <w:sectPr>
      <w:type w:val="continuous"/>
      <w:pgSz w:w="11910" w:h="16840"/>
      <w:pgMar w:top="460" w:bottom="280" w:left="136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Sans 17">
    <w:altName w:val="LM Sans 17"/>
    <w:charset w:val="0"/>
    <w:family w:val="auto"/>
    <w:pitch w:val="variable"/>
  </w:font>
  <w:font w:name="LM Roman 12">
    <w:altName w:val="LM Roman 12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line="314" w:lineRule="exact"/>
      <w:ind w:left="128"/>
    </w:pPr>
    <w:rPr>
      <w:rFonts w:ascii="LM Roman 12" w:hAnsi="LM Roman 12" w:eastAsia="LM Roman 12" w:cs="LM Roman 12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3569" w:right="3583"/>
      <w:jc w:val="center"/>
    </w:pPr>
    <w:rPr>
      <w:rFonts w:ascii="LM Sans 17" w:hAnsi="LM Sans 17" w:eastAsia="LM Sans 17" w:cs="LM Sans 17"/>
      <w:sz w:val="49"/>
      <w:szCs w:val="49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openehr.org/releases/trunk/UML/#Diagrams_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2020-09-20T16:16:33Z</dcterms:created>
  <dcterms:modified xsi:type="dcterms:W3CDTF">2020-09-20T16:16:33Z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2020-09-19T00:00:00Z</vt:filetime>
  </property>
  <property fmtid="{D5CDD505-2E9C-101B-9397-08002B2CF9AE}" pid="3" name="Creator">
    <vt:lpwstr>PDFium</vt:lpwstr>
  </property>
  <property fmtid="{D5CDD505-2E9C-101B-9397-08002B2CF9AE}" pid="4" name="LastSaved">
    <vt:filetime>2020-09-20T00:00:00Z</vt:filetime>
  </property>
</Properties>
</file>