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1B2B45"/>
          <w:sz w:val="24"/>
          <w:szCs w:val="24"/>
        </w:rPr>
        <w:t xml:space="preserve">COMANDO DA AERONÁUTICA</w:t>
      </w:r>
    </w:p>
    <w:p>
      <w:pPr>
        <w:spacing w:after="120"/>
        <w:jc w:val="center"/>
      </w:pPr>
      <w:r>
        <w:rPr>
          <w:rFonts w:ascii="Arial" w:cs="Arial" w:eastAsia="Arial" w:hAnsi="Arial"/>
          <w:color w:val="1B2B45"/>
          <w:sz w:val="22"/>
          <w:szCs w:val="22"/>
        </w:rPr>
        <w:t xml:space="preserve">INSTITUTO DE LOGÍSTICA DA AERONÁUTICA</w:t>
      </w:r>
    </w:p>
    <w:p>
      <w:pPr>
        <w:pBdr>
          <w:bottom w:val="single" w:color="1B2B45" w:sz="8" w:space="12"/>
        </w:pBdr>
        <w:spacing w:after="1200"/>
        <w:jc w:val="center"/>
      </w:pPr>
      <w:r>
        <w:rPr>
          <w:rFonts w:ascii="Arial" w:cs="Arial" w:eastAsia="Arial" w:hAnsi="Arial"/>
          <w:color w:val="1B2B45"/>
          <w:sz w:val="22"/>
          <w:szCs w:val="22"/>
        </w:rPr>
        <w:t xml:space="preserve">Seção de Material Didático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B45"/>
          <w:sz w:val="40"/>
          <w:szCs w:val="40"/>
        </w:rPr>
        <w:t xml:space="preserve">REQUISITOS TÉCNICOS</w:t>
      </w:r>
    </w:p>
    <w:p>
      <w:pPr>
        <w:spacing w:after="200"/>
        <w:jc w:val="center"/>
      </w:pPr>
      <w:r>
        <w:rPr>
          <w:rFonts w:ascii="Arial" w:cs="Arial" w:eastAsia="Arial" w:hAnsi="Arial"/>
          <w:color w:val="1B2B45"/>
          <w:sz w:val="28"/>
          <w:szCs w:val="28"/>
        </w:rPr>
        <w:t xml:space="preserve">SAD-ILA — Sistema de Apoio ao Desenvolvimento de Material Didático</w:t>
      </w:r>
    </w:p>
    <w:p>
      <w:pPr>
        <w:spacing w:after="1400"/>
        <w:jc w:val="center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Aplicação de IA no desenvolvimento de cursos EAD do ILA — Projeto 26SISIAR05LOG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72"/>
      </w:tblGrid>
      <w:tr>
        <w:trPr>
          <w:tblHeader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Órgão solicitante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COMGAP / ILA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Órgão desenvolvedor e operador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CCA-SJ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normativa do projeto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Portaria DTI nº 20/PLPJ, de 16 de março de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Versão do documento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 (preliminar, para validação)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Setembro de 2026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Nota: os valores de desempenho e de dimensionamento deste documento são estimativas iniciais e devem ser validados pela equipe do CCA-SJ por meio de testes com amostras reais.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B2B45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Objetivo e contexto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reúne os requisitos técnicos do SAD-ILA, sistema web de apoio à revisão de materiais didáticos da Seção de Material Didático do ILA. O sistema utiliza modelos de Inteligência Artificial para sugerir correções e melhorias, verificar a aderência do material ao Quadro Estrutural (QE) do curso, conferir a subordinação hierárquica do conteúdo e apoiar a revisão técnica com base em referências técnicas enviadas pelo usuário.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Princípio central: a IA apenas sugere. Nenhuma alteração é aplicada ao material sem a decisão do revisor, e o arquivo original é sempre preservado.</w:t>
      </w:r>
    </w:p>
    <w:p>
      <w:pPr>
        <w:pStyle w:val="Heading1"/>
      </w:pPr>
      <w:r>
        <w:rPr>
          <w:rFonts w:ascii="Arial" w:cs="Arial" w:eastAsia="Arial" w:hAnsi="Arial"/>
        </w:rPr>
        <w:t xml:space="preserve">2. Arquitetura sugerida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rPr>
          <w:tblHeader/>
        </w:trPr>
        <w:tc>
          <w:tcPr>
            <w:tcW w:type="dxa" w:w="24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6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 web</w:t>
            </w:r>
          </w:p>
        </w:tc>
        <w:tc>
          <w:tcPr>
            <w:tcW w:type="dxa" w:w="66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Telas do protótipo: início, revisão, conferência do QE, relatórios e histórico.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e regras de negócio</w:t>
            </w:r>
          </w:p>
        </w:tc>
        <w:tc>
          <w:tcPr>
            <w:tcW w:type="dxa" w:w="66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Autenticação, fluxo de revisão, controle de versões e geração de relatórios.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Fila de processamento</w:t>
            </w:r>
          </w:p>
        </w:tc>
        <w:tc>
          <w:tcPr>
            <w:tcW w:type="dxa" w:w="66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Executa análises longas de forma assíncrona, sem travar a interface.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Serviço de documentos</w:t>
            </w:r>
          </w:p>
        </w:tc>
        <w:tc>
          <w:tcPr>
            <w:tcW w:type="dxa" w:w="66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Leitura, análise e geração de arquivos Word e PDF.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Serviço de IA</w:t>
            </w:r>
          </w:p>
        </w:tc>
        <w:tc>
          <w:tcPr>
            <w:tcW w:type="dxa" w:w="66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de linguagem, busca semântica nas referências técnicas e avaliação das saídas.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6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Usuários, cursos, documentos, sugestões, decisões e histórico.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Armazenamento de arquivos</w:t>
            </w:r>
          </w:p>
        </w:tc>
        <w:tc>
          <w:tcPr>
            <w:tcW w:type="dxa" w:w="66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Originais, versões revisadas e referências técnicas.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Requisitos funcionais</w:t>
      </w:r>
    </w:p>
    <w:p>
      <w:pPr>
        <w:pStyle w:val="Heading2"/>
      </w:pPr>
      <w:r>
        <w:rPr>
          <w:rFonts w:ascii="Arial" w:cs="Arial" w:eastAsia="Arial" w:hAnsi="Arial"/>
        </w:rPr>
        <w:t xml:space="preserve">3.1 Gestão de documentos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72"/>
      </w:tblGrid>
      <w:tr>
        <w:trPr>
          <w:tblHeader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de QE e material didático em .docx, com validação de formato e tamanho.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RF-02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de várias Referências Técnicas em PDF ou Word, com remoção e substituição de arquivos.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RF-03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Associar cada conjunto de arquivos a um curso e a uma unidade.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RF-04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Preservar o arquivo original sem alteração.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3.2 Revisão textual e pedagógica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72"/>
      </w:tblGrid>
      <w:tr>
        <w:trPr>
          <w:tblHeader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RF-05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Correção ortográfica, gramatical, de pontuação, concordância e regência.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RF-06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Análise de coerência e coesão.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RF-07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Adequação à linguagem didática e dialógica.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RF-08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Consistência terminológica em todo o documento.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RF-09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Classificar cada sugestão em uma categoria (correção, melhoria, pedagógica, hierarquia, técnica) e informar o motivo.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3.3 Subordinação hierárquica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72"/>
      </w:tblGrid>
      <w:tr>
        <w:trPr>
          <w:tblHeader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RF-10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Extrair a estrutura do QE (níveis primário, secundário, terciário e seguintes).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RF-11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Extrair a estrutura do material a partir dos estilos de título do Word.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RF-12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Comparar as duas estruturas e apontar divergências (nível incorreto, título sem marcação, ordem trocada).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RF-13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Sugerir o ajuste do nível ou a inclusão do subtítulo.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3.4 Conferência com o QE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72"/>
      </w:tblGrid>
      <w:tr>
        <w:trPr>
          <w:tblHeader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RF-14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Verificar se cada conteúdo do QE está no material (contemplado, parcial ou não localizado).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RF-15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Indicar a localização (capítulo e página) de cada item.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RF-16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Apontar conteúdos do material sem correspondência no QE.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3.5 Revisão técnica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72"/>
      </w:tblGrid>
      <w:tr>
        <w:trPr>
          <w:tblHeader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RF-17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Confrontar o conteúdo do material e do QE com as referências técnicas enviadas.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RF-18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 cada apontamento, mostrar o trecho da referência que o fundamenta (arquivo e página).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RF-19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Marcar como “requer validação do especialista” tudo o que a IA não conseguir sustentar em uma referência.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3.6 Decisão do revisor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72"/>
      </w:tblGrid>
      <w:tr>
        <w:trPr>
          <w:tblHeader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RF-20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Aceitar, recusar ou editar cada sugestão, individualmente ou em lote.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RF-21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não aplica nenhuma alteração sem decisão do revisor.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RF-22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Navegar entre sugestões e filtrar por categoria e por situação (pendente, aceita, recusada).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RF-23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Gerar a versão final com as alterações aprovadas, de preferência em .docx com controle de alterações.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3.7 Relatórios e histórico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72"/>
      </w:tblGrid>
      <w:tr>
        <w:trPr>
          <w:tblHeader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RF-24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Gerar relatório da revisão, da conferência do QE e da hierarquia (PDF).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RF-25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Manter o histórico de versões, com data, responsável, sugestões e decisões.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RF-26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Comparar duas versões do mesmo material.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3.8 Administração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72"/>
      </w:tblGrid>
      <w:tr>
        <w:trPr>
          <w:tblHeader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RF-27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de cursos, unidades e usuários com perfis.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RF-28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Configuração dos tipos de análise disponíveis e de parâmetros de rigor.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Requisitos do serviço de IA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72"/>
      </w:tblGrid>
      <w:tr>
        <w:trPr>
          <w:tblHeader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RT-IA-01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de linguagem em português do Brasil, com bom desempenho em textos técnicos e de ensino.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RT-IA-02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Execução preferencialmente local (infraestrutura do COMAER), sem chamadas a serviços externos.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RT-IA-03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Saídas estruturadas (JSON com trecho original, sugestão, categoria, motivo e posição no documento), validadas antes de exibir ao usuário.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RT-IA-04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semântica (RAG) sobre as referências técnicas: divisão em trechos, embeddings e índice vetorial, com citação da fonte em cada resposta.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RT-IA-05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Processamento de documentos extensos por divisão em blocos com contexto, sem perder a referência ao restante do texto.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RT-IA-06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Instruções (prompts) e versões do modelo versionadas, registrando qual versão gerou cada sugestão.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RT-IA-07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Posição exata de cada sugestão, para destacá-la corretamente no texto.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RT-IA-08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Conjunto de testes com exemplos de “antes e depois” revisados pela Seção, para medir a qualidade do modelo a cada alteração.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RT-IA-09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Mecanismos para reduzir respostas inventadas: exigir base na referência, reprocessar em caso de saída inválida e recusar a sugestão quando não houver sustentação.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RT-IA-10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Possibilidade de trocar o modelo sem reescrever o sistema (camada de abstração).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Processamento de documentos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72"/>
      </w:tblGrid>
      <w:tr>
        <w:trPr>
          <w:tblHeader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RT-DOC-01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Leitura de .docx preservando estilos, títulos, listas, tabelas, notas de rodapé e imagens.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RT-DOC-02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Identificar a hierarquia pelos estilos de título do Word (Título 1, 2, 3...) e, quando faltarem, inferir por numeração e formatação.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RT-DOC-03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de .docx revisado que mantenha a formatação original e registre as alterações como controle de alterações do Word.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RT-DOC-04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Extração de texto de PDF, com OCR para PDFs digitalizados.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RT-DOC-05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Extração de estrutura do QE (tabelas de conteúdos, níveis e códigos), com tolerância a variações de modelo.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RT-DOC-06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de relatórios em PDF.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RT-DOC-07</w:t>
            </w:r>
          </w:p>
        </w:tc>
        <w:tc>
          <w:tcPr>
            <w:tcW w:type="dxa" w:w="77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Tratamento de erros para arquivos corrompidos, protegidos por senha ou fora do padrão, com mensagem clara ao usuário.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Requisitos não funcionais</w:t>
      </w:r>
    </w:p>
    <w:p>
      <w:pPr>
        <w:pStyle w:val="Heading2"/>
      </w:pPr>
      <w:r>
        <w:rPr>
          <w:rFonts w:ascii="Arial" w:cs="Arial" w:eastAsia="Arial" w:hAnsi="Arial"/>
        </w:rPr>
        <w:t xml:space="preserve">6.1 Desempenho (metas a validar)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Upload e leitura de documento de até 200 páginas em poucos minutos.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Revisão completa de uma apostila em tempo de execução aceitável, executada em segundo plano com barra de progresso.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Interface responsiva: navegação entre sugestões em menos de 1 segundo.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Suporte a usuários simultâneos definidos com o ILA (por exemplo, 5 a 10 revisões em paralelo).</w:t>
      </w:r>
    </w:p>
    <w:p>
      <w:pPr>
        <w:pStyle w:val="Heading2"/>
      </w:pPr>
      <w:r>
        <w:rPr>
          <w:rFonts w:ascii="Arial" w:cs="Arial" w:eastAsia="Arial" w:hAnsi="Arial"/>
        </w:rPr>
        <w:t xml:space="preserve">6.2 Disponibilidade e continuidade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Disponibilidade em horário de expediente, com janela de manutenção combinada.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Backup periódico do banco e dos arquivos, com teste de restauração.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Retomada automática de análises interrompidas.</w:t>
      </w:r>
    </w:p>
    <w:p>
      <w:pPr>
        <w:pStyle w:val="Heading2"/>
      </w:pPr>
      <w:r>
        <w:rPr>
          <w:rFonts w:ascii="Arial" w:cs="Arial" w:eastAsia="Arial" w:hAnsi="Arial"/>
        </w:rPr>
        <w:t xml:space="preserve">6.3 Segurança técnica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Autenticação (preferencialmente integrada à do COMAER) e perfis de acesso.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Criptografia em trânsito (HTTPS) e dos arquivos armazenados.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Trilha de auditoria dos eventos do sistema.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Isolamento entre ambientes de desenvolvimento, homologação e produção.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Testes de vulnerabilidade antes da entrada em produção.</w:t>
      </w:r>
    </w:p>
    <w:p>
      <w:pPr>
        <w:pStyle w:val="Heading2"/>
      </w:pPr>
      <w:r>
        <w:rPr>
          <w:rFonts w:ascii="Arial" w:cs="Arial" w:eastAsia="Arial" w:hAnsi="Arial"/>
        </w:rPr>
        <w:t xml:space="preserve">6.4 Usabilidade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Interface conforme o protótipo aprovado.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Compatibilidade com os navegadores usados na rede do COMAER (a confirmar).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Acessibilidade básica (contraste, navegação por teclado).</w:t>
      </w:r>
    </w:p>
    <w:p>
      <w:pPr>
        <w:pStyle w:val="Heading2"/>
      </w:pPr>
      <w:r>
        <w:rPr>
          <w:rFonts w:ascii="Arial" w:cs="Arial" w:eastAsia="Arial" w:hAnsi="Arial"/>
        </w:rPr>
        <w:t xml:space="preserve">6.5 Manutenibilidade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Código documentado e versionado, com testes automatizados.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Registros (logs) e monitoramento de erros, de tempo de análise e de uso do modelo.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Configuração externa (sem valores fixos no código).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Documentação técnica e manual de operação para o CCA-SJ.</w:t>
      </w:r>
    </w:p>
    <w:p>
      <w:pPr>
        <w:pStyle w:val="Heading1"/>
      </w:pPr>
      <w:r>
        <w:rPr>
          <w:rFonts w:ascii="Arial" w:cs="Arial" w:eastAsia="Arial" w:hAnsi="Arial"/>
        </w:rPr>
        <w:t xml:space="preserve">7. Modelo de dados (entidades principais)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72"/>
      </w:tblGrid>
      <w:tr>
        <w:trPr>
          <w:tblHeader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Usuário e Perfil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Identificação, perfil de acesso (revisor, coordenador, administrador).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Curso e Unidade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Cursos do ILA e suas unidades ou módulos.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(QE, material ou referência), versão e caminho do arquivo.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Análise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Data, tipos executados, versão do modelo e situação.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Sugestão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Categoria, trecho original, texto sugerido, motivo, posição e fonte da referência.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Decisão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Aceita, recusada ou editada; texto final, usuário e data.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 do QE e Correspondência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Código, descrição e nível hierárquico; localização no material e situação.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Relatório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e arquivo gerado.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Infraestrutura mínima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72"/>
      </w:tblGrid>
      <w:tr>
        <w:trPr>
          <w:tblHeader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preliminar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Servidor de aplicação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Máquina virtual com CPU e memória para a API e a fila.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Servidor de IA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GPU com memória de vídeo compatível com o modelo escolhido. O tamanho do modelo define o hardware; o teste com amostras deve vir antes.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Relacional, com backup.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Índice vetorial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 as referências técnicas.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Dimensionado pelo volume de cursos e versões.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Rede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Acesso pela rede corporativa, sem dependência de internet para a IA.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Ambientes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Desenvolvimento, homologação e produção.</w:t>
            </w:r>
          </w:p>
        </w:tc>
      </w:tr>
    </w:tbl>
    <w:p>
      <w:pPr>
        <w:spacing w:after="120" w:before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Convém definir cedo qual GPU o CCA-BR ou o CDCAER pode disponibilizar, porque essa informação limita a escolha do modelo.</w:t>
      </w:r>
    </w:p>
    <w:p>
      <w:pPr>
        <w:pStyle w:val="Heading1"/>
      </w:pPr>
      <w:r>
        <w:rPr>
          <w:rFonts w:ascii="Arial" w:cs="Arial" w:eastAsia="Arial" w:hAnsi="Arial"/>
        </w:rPr>
        <w:t xml:space="preserve">9. Integrações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Autenticação institucional, se existir.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ILA Virtual e ILA Cloud: verificar a necessidade e as limitações levantadas (fase futura).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Exportação para InDesign e Articulate Rise 360 (fase futura, fora do MVP).</w:t>
      </w:r>
    </w:p>
    <w:p>
      <w:pPr>
        <w:pStyle w:val="Heading1"/>
      </w:pPr>
      <w:r>
        <w:rPr>
          <w:rFonts w:ascii="Arial" w:cs="Arial" w:eastAsia="Arial" w:hAnsi="Arial"/>
        </w:rPr>
        <w:t xml:space="preserve">10. Testes e critérios de aceite técnicos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Qualidade da IA: </w:t>
      </w:r>
      <w:r>
        <w:rPr>
          <w:rFonts w:ascii="Arial" w:cs="Arial" w:eastAsia="Arial" w:hAnsi="Arial"/>
          <w:sz w:val="22"/>
          <w:szCs w:val="22"/>
        </w:rPr>
        <w:t xml:space="preserve">medir precisão das correções, taxa de falsos positivos, cobertura do QE e acerto na hierarquia, contra o conjunto de “antes e depois” da Seção.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Fidelidade do documento: </w:t>
      </w:r>
      <w:r>
        <w:rPr>
          <w:rFonts w:ascii="Arial" w:cs="Arial" w:eastAsia="Arial" w:hAnsi="Arial"/>
          <w:sz w:val="22"/>
          <w:szCs w:val="22"/>
        </w:rPr>
        <w:t xml:space="preserve">o .docx revisado deve abrir sem erro no Word e manter a formatação.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Desempenho: </w:t>
      </w:r>
      <w:r>
        <w:rPr>
          <w:rFonts w:ascii="Arial" w:cs="Arial" w:eastAsia="Arial" w:hAnsi="Arial"/>
          <w:sz w:val="22"/>
          <w:szCs w:val="22"/>
        </w:rPr>
        <w:t xml:space="preserve">teste com o maior documento real disponível.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Carga: </w:t>
      </w:r>
      <w:r>
        <w:rPr>
          <w:rFonts w:ascii="Arial" w:cs="Arial" w:eastAsia="Arial" w:hAnsi="Arial"/>
          <w:sz w:val="22"/>
          <w:szCs w:val="22"/>
        </w:rPr>
        <w:t xml:space="preserve">revisões simultâneas.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Segurança: </w:t>
      </w:r>
      <w:r>
        <w:rPr>
          <w:rFonts w:ascii="Arial" w:cs="Arial" w:eastAsia="Arial" w:hAnsi="Arial"/>
          <w:sz w:val="22"/>
          <w:szCs w:val="22"/>
        </w:rPr>
        <w:t xml:space="preserve">teste de vulnerabilidades e de perfis de acesso.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Aceite: </w:t>
      </w:r>
      <w:r>
        <w:rPr>
          <w:rFonts w:ascii="Arial" w:cs="Arial" w:eastAsia="Arial" w:hAnsi="Arial"/>
          <w:sz w:val="22"/>
          <w:szCs w:val="22"/>
        </w:rPr>
        <w:t xml:space="preserve">homologação pelas usuárias da Seção de Material Didático.</w:t>
      </w:r>
    </w:p>
    <w:p>
      <w:pPr>
        <w:pStyle w:val="Heading1"/>
      </w:pPr>
      <w:r>
        <w:rPr>
          <w:rFonts w:ascii="Arial" w:cs="Arial" w:eastAsia="Arial" w:hAnsi="Arial"/>
        </w:rPr>
        <w:t xml:space="preserve">11. Sugestão de tecnologias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opções abaixo são referências comuns e devem ser confirmadas com o CCA-SJ. O ideal é usar as tecnologias que o CCA-SJ já opera e sustenta.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72"/>
      </w:tblGrid>
      <w:tr>
        <w:trPr>
          <w:tblHeader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 comuns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ou Vue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(FastAPI) ou Java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Fila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Celery ou RabbitMQ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com extensão vetorial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Documentos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Bibliotecas de manipulação de OOXML (python-docx, docx4j) e extração de PDF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IA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aberto executado em servidor próprio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Publicação</w:t>
            </w:r>
          </w:p>
        </w:tc>
        <w:tc>
          <w:tcPr>
            <w:tcW w:type="dxa" w:w="64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Contêineres (Docker)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12. Priorização para o MVP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rPr>
          <w:tblHeader/>
        </w:trPr>
        <w:tc>
          <w:tcPr>
            <w:tcW w:type="dxa" w:w="20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70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1B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 (obrigatório)</w:t>
            </w:r>
          </w:p>
        </w:tc>
        <w:tc>
          <w:tcPr>
            <w:tcW w:type="dxa" w:w="70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RF-01, RF-03 a RF-09, RF-14 a RF-16, RF-20 a RF-25, serviço de IA local e tratamento de .docx.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Segunda fase</w:t>
            </w:r>
          </w:p>
        </w:tc>
        <w:tc>
          <w:tcPr>
            <w:tcW w:type="dxa" w:w="70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Subordinação hierárquica (RF-10 a RF-13) e revisão técnica (RF-17 a RF-19), que exigem mais calibração.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Terceira fase</w:t>
            </w:r>
          </w:p>
        </w:tc>
        <w:tc>
          <w:tcPr>
            <w:tcW w:type="dxa" w:w="7072"/>
            <w:tcBorders>
              <w:top w:val="single" w:color="BFC5D0" w:sz="4"/>
              <w:left w:val="single" w:color="BFC5D0" w:sz="4"/>
              <w:bottom w:val="single" w:color="BFC5D0" w:sz="4"/>
              <w:right w:val="single" w:color="BFC5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Comparação de versões, integrações e exportação para InDesign e Articulate Rise 360.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418" w:right="1417" w:bottom="1418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SAD-ILA — Requisitos Técnicos ·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2B45" w:sz="6" w:space="4"/>
      </w:pBdr>
      <w:spacing w:after="160" w:before="360"/>
      <w:outlineLvl w:val="0"/>
    </w:pPr>
    <w:rPr>
      <w:rFonts w:ascii="Arial" w:cs="Arial" w:eastAsia="Arial" w:hAnsi="Arial"/>
      <w:b/>
      <w:bCs/>
      <w:color w:val="1B2B4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41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Técnicos — SAD-ILA</dc:title>
  <dc:creator>Seção de Material Didático — ILA</dc:creator>
  <cp:lastModifiedBy>Un-named</cp:lastModifiedBy>
  <cp:revision>1</cp:revision>
  <dcterms:created xsi:type="dcterms:W3CDTF">2026-09-28T16:42:22.830Z</dcterms:created>
  <dcterms:modified xsi:type="dcterms:W3CDTF">2026-09-28T16:42:22.839Z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