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25070D2D" w:rsidR="00251E64" w:rsidRPr="00E008EE" w:rsidRDefault="00417755" w:rsidP="00C828DE">
      <w:pPr>
        <w:pStyle w:val="Titresecondaire"/>
      </w:pPr>
      <w:r>
        <w:t>Documentation de projet</w:t>
      </w:r>
    </w:p>
    <w:p w14:paraId="4740A8A2" w14:textId="77777777" w:rsidR="001C681D" w:rsidRPr="00C828DE" w:rsidRDefault="001C681D" w:rsidP="00C828DE"/>
    <w:p w14:paraId="16921E6E" w14:textId="4A394308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B67F21">
        <w:rPr>
          <w:noProof/>
        </w:rPr>
        <w:t>22 mai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r w:rsidR="00354EC6">
              <w:t>xx.xx.xxxx</w:t>
            </w:r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7AB17A1E" w14:textId="17FBEB1F" w:rsidR="00457049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648150" w:history="1">
        <w:r w:rsidR="00457049" w:rsidRPr="00955C2B">
          <w:rPr>
            <w:rStyle w:val="Lienhypertexte"/>
            <w:noProof/>
          </w:rPr>
          <w:t>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Introduction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05A6D154" w14:textId="25DDF65A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1" w:history="1">
        <w:r w:rsidR="00457049" w:rsidRPr="00955C2B">
          <w:rPr>
            <w:rStyle w:val="Lienhypertexte"/>
            <w:noProof/>
          </w:rPr>
          <w:t>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du projet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6BB943E0" w14:textId="4E8F9DC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2" w:history="1">
        <w:r w:rsidR="00457049" w:rsidRPr="00955C2B">
          <w:rPr>
            <w:rStyle w:val="Lienhypertexte"/>
            <w:noProof/>
          </w:rPr>
          <w:t>2.1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Contexte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_Toc135648152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3D6DE9B4" w14:textId="2CAC99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3" w:history="1">
        <w:r w:rsidR="00457049" w:rsidRPr="00955C2B">
          <w:rPr>
            <w:rStyle w:val="Lienhypertexte"/>
            <w:noProof/>
          </w:rPr>
          <w:t>2.2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Description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_Toc135648153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3CAB65A6" w14:textId="774B075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4" w:history="1">
        <w:r w:rsidR="00457049" w:rsidRPr="00955C2B">
          <w:rPr>
            <w:rStyle w:val="Lienhypertexte"/>
            <w:noProof/>
          </w:rPr>
          <w:t>2.3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de technologie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_Toc135648154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667612E" w14:textId="0E7A56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5" w:history="1">
        <w:r w:rsidR="00457049" w:rsidRPr="00955C2B">
          <w:rPr>
            <w:rStyle w:val="Lienhypertexte"/>
            <w:noProof/>
          </w:rPr>
          <w:t>2.4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Schémas UML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_Toc135648155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707ED51" w14:textId="3C141B3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6" w:history="1">
        <w:r w:rsidR="00457049" w:rsidRPr="00955C2B">
          <w:rPr>
            <w:rStyle w:val="Lienhypertexte"/>
            <w:noProof/>
          </w:rPr>
          <w:t>2.4.1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UseCase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_Toc135648156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2627FA78" w14:textId="02B20509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7" w:history="1">
        <w:r w:rsidR="00457049" w:rsidRPr="00955C2B">
          <w:rPr>
            <w:rStyle w:val="Lienhypertexte"/>
            <w:noProof/>
          </w:rPr>
          <w:t>2.4.2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Maquette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_Toc135648157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66C0905A" w14:textId="47A3921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8" w:history="1">
        <w:r w:rsidR="00457049" w:rsidRPr="00955C2B">
          <w:rPr>
            <w:rStyle w:val="Lienhypertexte"/>
            <w:noProof/>
          </w:rPr>
          <w:t>2.4.3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Entité relation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_Toc135648158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046EC6D5" w14:textId="072DFAE3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9" w:history="1">
        <w:r w:rsidR="00457049" w:rsidRPr="00955C2B">
          <w:rPr>
            <w:rStyle w:val="Lienhypertexte"/>
            <w:noProof/>
          </w:rPr>
          <w:t>2.4.4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Séquences Interactions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_Toc135648159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28CE8FB4" w14:textId="43D73C6A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0" w:history="1">
        <w:r w:rsidR="00457049" w:rsidRPr="00955C2B">
          <w:rPr>
            <w:rStyle w:val="Lienhypertexte"/>
            <w:noProof/>
          </w:rPr>
          <w:t>2.5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Test Technologique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176BBA52" w14:textId="6603B046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1" w:history="1">
        <w:r w:rsidR="00457049" w:rsidRPr="00955C2B">
          <w:rPr>
            <w:rStyle w:val="Lienhypertexte"/>
            <w:noProof/>
          </w:rPr>
          <w:t>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Conclusion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7862BDD7" w14:textId="1AD78B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648150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648151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648152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648153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648154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php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648155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648156"/>
      <w:r>
        <w:lastRenderedPageBreak/>
        <w:t>UseCase</w:t>
      </w:r>
      <w:bookmarkEnd w:id="11"/>
    </w:p>
    <w:p w14:paraId="50A71E83" w14:textId="136C0AE5" w:rsidR="00971B20" w:rsidRDefault="00364B46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32EAC0BE" wp14:editId="01459B4F">
            <wp:extent cx="5939790" cy="5600700"/>
            <wp:effectExtent l="0" t="0" r="3810" b="0"/>
            <wp:docPr id="2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E45" w14:textId="461B3E93" w:rsidR="00A853C0" w:rsidRDefault="00A853C0" w:rsidP="00073501">
      <w:pPr>
        <w:pStyle w:val="Titre3"/>
      </w:pPr>
      <w:bookmarkStart w:id="12" w:name="_Toc135648157"/>
      <w:r>
        <w:t>Maquette</w:t>
      </w:r>
      <w:bookmarkEnd w:id="12"/>
    </w:p>
    <w:p w14:paraId="1E3C68E4" w14:textId="5C638FD1" w:rsidR="00073E9E" w:rsidRPr="00073E9E" w:rsidRDefault="00073E9E" w:rsidP="00073E9E">
      <w:pPr>
        <w:pStyle w:val="Retrait1"/>
      </w:pPr>
      <w:r w:rsidRPr="00073E9E">
        <w:rPr>
          <w:noProof/>
        </w:rPr>
        <w:lastRenderedPageBreak/>
        <w:drawing>
          <wp:inline distT="0" distB="0" distL="0" distR="0" wp14:anchorId="72913697" wp14:editId="3F6A3150">
            <wp:extent cx="5939790" cy="8661400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BC6" w14:textId="55E51577" w:rsidR="004E122D" w:rsidRDefault="00AE7DAC" w:rsidP="00073501">
      <w:pPr>
        <w:pStyle w:val="Titre3"/>
      </w:pPr>
      <w:bookmarkStart w:id="13" w:name="_Toc135648158"/>
      <w:r>
        <w:lastRenderedPageBreak/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2" o:title=""/>
          </v:shape>
          <o:OLEObject Type="Embed" ProgID="Visio.Drawing.15" ShapeID="_x0000_i1025" DrawAspect="Content" ObjectID="_1746335194" r:id="rId23"/>
        </w:object>
      </w:r>
    </w:p>
    <w:p w14:paraId="05C3966E" w14:textId="34C5E347" w:rsidR="00705C74" w:rsidRDefault="00705C74" w:rsidP="00705C74">
      <w:pPr>
        <w:pStyle w:val="Titre3"/>
      </w:pPr>
      <w:bookmarkStart w:id="14" w:name="_Toc135648159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11C19B99" w:rsidR="00073501" w:rsidRDefault="00073501" w:rsidP="00AE7DAC">
      <w:pPr>
        <w:pStyle w:val="Titre2"/>
      </w:pPr>
      <w:bookmarkStart w:id="15" w:name="_Toc135648160"/>
      <w:r>
        <w:t>Test Technologique</w:t>
      </w:r>
      <w:bookmarkEnd w:id="15"/>
    </w:p>
    <w:p w14:paraId="4B7B04AA" w14:textId="18AB629E" w:rsidR="00B67F21" w:rsidRDefault="00B67F21" w:rsidP="00B67F21">
      <w:pPr>
        <w:pStyle w:val="Titre3"/>
      </w:pPr>
      <w:r>
        <w:t>Notification</w:t>
      </w:r>
    </w:p>
    <w:p w14:paraId="01F308AA" w14:textId="1B1C10F3" w:rsidR="00B67F21" w:rsidRPr="00B67F21" w:rsidRDefault="00B67F21" w:rsidP="00B67F21">
      <w:pPr>
        <w:pStyle w:val="Retrait1"/>
      </w:pPr>
      <w:r w:rsidRPr="00B67F21">
        <w:t xml:space="preserve">Ajout d’un bouton dans </w:t>
      </w:r>
      <w:r>
        <w:t xml:space="preserve">le fichier activity_main.xml </w:t>
      </w:r>
    </w:p>
    <w:p w14:paraId="50550AA1" w14:textId="77777777" w:rsidR="00B67F21" w:rsidRPr="00B67F21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B67F21">
        <w:rPr>
          <w:rFonts w:ascii="Courier New" w:hAnsi="Courier New" w:cs="Courier New"/>
          <w:color w:val="E8BF6A"/>
          <w:sz w:val="20"/>
          <w:szCs w:val="20"/>
          <w:lang w:eastAsia="fr-CH"/>
        </w:rPr>
        <w:t>&lt;Button</w:t>
      </w:r>
      <w:r w:rsidRPr="00B67F21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:layout_width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="wrap_content"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:layout_height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="wrap_content"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:text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="@string/app_name"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:id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="@+id/notify_btn"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app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:layout_constraintBottom_toBottomOf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="parent"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app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:layout_constraintEnd_toEndOf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="parent"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app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:layout_constraintStart_toStartOf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="parent"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app</w:t>
      </w:r>
      <w:r w:rsidRPr="00B67F21">
        <w:rPr>
          <w:rFonts w:ascii="Courier New" w:hAnsi="Courier New" w:cs="Courier New"/>
          <w:color w:val="BABABA"/>
          <w:sz w:val="20"/>
          <w:szCs w:val="20"/>
          <w:lang w:eastAsia="fr-CH"/>
        </w:rPr>
        <w:t>:layout_constraintTop_toTopOf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="parent" </w:t>
      </w:r>
      <w:r w:rsidRPr="00B67F21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</w:p>
    <w:p w14:paraId="0B243D56" w14:textId="7EEF39FF" w:rsidR="00B67F21" w:rsidRPr="00B67F21" w:rsidRDefault="00B67F21" w:rsidP="00B67F21">
      <w:pPr>
        <w:pStyle w:val="Retrait1"/>
      </w:pPr>
      <w:r>
        <w:t>Ajout d’un écouteur sur le bouton et envoie d’une notification dans MainActivity.java</w:t>
      </w:r>
    </w:p>
    <w:p w14:paraId="4A6AF21D" w14:textId="77777777" w:rsidR="00B67F21" w:rsidRPr="00B67F21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package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com.example.testtechnonotify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androidx.appcompat.app.AppCompatActivity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androidx.core.app.ActivityCompat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androidx.core.app.NotificationManagerCompat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android.app.NotificationChannel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android.app.NotificationManager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android.content.pm.PackageManager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android.os.Build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android.os.Bundle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android.view.View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android.widget.Button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public class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MainActivity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extends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Button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protected void </w:t>
      </w:r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(Bundle savedInstanceState)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.onCreate(savedInstanceState)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setContentView(R.layout.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notifyBtn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= findViewById(R.id.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notify_btn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br/>
        <w:t xml:space="preserve">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(Build.VERSION.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SDK_INT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&gt;= Build.VERSION_CODES.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O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NotificationChannel channel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IMPORTANCE_DEFAULT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 manager = getSystemService(NotificationManager.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class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manager.createNotificationChannel(channel)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View.OnClickListener()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void </w:t>
      </w:r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(View v)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NotificationCompat.Builder builder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this,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builder.setContentTitle(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title"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builder.setContentText(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"Test Techno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builder.setSmallIcon(R.drawable.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ic_launcher_background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builder.setAutoCancel(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true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 managerCompat = NotificationManagerCompat.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from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(ActivityCompat.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checkSelfPermission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this,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POST_NOTIFICATIONS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!=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PackageManager.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PERMISSION_GRANTED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TODO: Consider calling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  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ActivityCompat#requestPermissions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// here to request the missing permissions, and then overriding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public void onRequestPermissionsResult(int requestCode, String[] permissions,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                                       int[] grantResults)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to handle the case where the user grants the permission. See the documentation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for ActivityCompat#requestPermissions for more details.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return;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managerCompat.notify(</w:t>
      </w:r>
      <w:r w:rsidRPr="00B67F21">
        <w:rPr>
          <w:rFonts w:ascii="Courier New" w:hAnsi="Courier New" w:cs="Courier New"/>
          <w:color w:val="6897BB"/>
          <w:sz w:val="20"/>
          <w:szCs w:val="20"/>
          <w:lang w:val="en-US" w:eastAsia="fr-CH"/>
        </w:rPr>
        <w:t>1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builder.build())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})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>}</w:t>
      </w:r>
    </w:p>
    <w:p w14:paraId="4095BB29" w14:textId="584045B3" w:rsidR="00B67F21" w:rsidRDefault="00B67F21" w:rsidP="00B67F21">
      <w:pPr>
        <w:pStyle w:val="Retrait1"/>
        <w:rPr>
          <w:lang w:val="en-US"/>
        </w:rPr>
      </w:pPr>
      <w:r>
        <w:rPr>
          <w:lang w:val="en-US"/>
        </w:rPr>
        <w:t>Résultat:</w:t>
      </w:r>
    </w:p>
    <w:p w14:paraId="34BEB999" w14:textId="69585B9A" w:rsidR="00B67F21" w:rsidRPr="00B67F21" w:rsidRDefault="00B67F21" w:rsidP="00B67F21">
      <w:pPr>
        <w:pStyle w:val="Retrait1"/>
        <w:rPr>
          <w:lang w:val="en-US"/>
        </w:rPr>
      </w:pPr>
      <w:r w:rsidRPr="00B67F21">
        <w:rPr>
          <w:lang w:val="en-US"/>
        </w:rPr>
        <w:lastRenderedPageBreak/>
        <w:drawing>
          <wp:inline distT="0" distB="0" distL="0" distR="0" wp14:anchorId="7DBF2445" wp14:editId="10D684E3">
            <wp:extent cx="3333750" cy="3765458"/>
            <wp:effectExtent l="0" t="0" r="0" b="6985"/>
            <wp:docPr id="5" name="Image 5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éléphone mobile, capture d’écran, gadget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328" cy="3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29A" w14:textId="77777777" w:rsidR="00B67F21" w:rsidRPr="00B67F21" w:rsidRDefault="00B67F21" w:rsidP="00B67F21">
      <w:pPr>
        <w:pStyle w:val="Retrait1"/>
        <w:rPr>
          <w:lang w:val="en-US"/>
        </w:rPr>
      </w:pPr>
    </w:p>
    <w:p w14:paraId="2DD9287F" w14:textId="08137384" w:rsidR="00BC5C3B" w:rsidRPr="00BC5C3B" w:rsidRDefault="00C679D7" w:rsidP="00BC5C3B">
      <w:pPr>
        <w:pStyle w:val="Titre1"/>
      </w:pPr>
      <w:bookmarkStart w:id="16" w:name="_Toc135648161"/>
      <w:r w:rsidRPr="00BC5C3B">
        <w:t>Conclusion</w:t>
      </w:r>
      <w:bookmarkEnd w:id="16"/>
    </w:p>
    <w:sectPr w:rsidR="00BC5C3B" w:rsidRPr="00BC5C3B" w:rsidSect="00DD274C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E06C" w14:textId="77777777" w:rsidR="00722892" w:rsidRDefault="00722892" w:rsidP="00C828DE">
      <w:r>
        <w:separator/>
      </w:r>
    </w:p>
  </w:endnote>
  <w:endnote w:type="continuationSeparator" w:id="0">
    <w:p w14:paraId="65F4E36B" w14:textId="77777777" w:rsidR="00722892" w:rsidRDefault="0072289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1A9D2F6A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B67F21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B67F21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B67F21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7FA65F4F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B67F21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B67F21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B67F21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17E45EEB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B67F21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B67F21">
        <w:rPr>
          <w:noProof/>
        </w:rPr>
        <w:instrText>9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B67F21">
      <w:rPr>
        <w:noProof/>
      </w:rPr>
      <w:t>7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12C9D185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B67F21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B67F21">
        <w:rPr>
          <w:noProof/>
        </w:rPr>
        <w:instrText>9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B67F21">
      <w:rPr>
        <w:noProof/>
      </w:rPr>
      <w:t>7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577B" w14:textId="77777777" w:rsidR="00722892" w:rsidRDefault="00722892" w:rsidP="00C828DE">
      <w:r>
        <w:separator/>
      </w:r>
    </w:p>
  </w:footnote>
  <w:footnote w:type="continuationSeparator" w:id="0">
    <w:p w14:paraId="2ED22FB8" w14:textId="77777777" w:rsidR="00722892" w:rsidRDefault="0072289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62B66BAC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B67F21">
      <w:rPr>
        <w:noProof/>
      </w:rPr>
      <w:t>23.05.2023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0C1CCB8E" w:rsidR="000371EE" w:rsidRPr="00FD5413" w:rsidRDefault="00000000" w:rsidP="004D3A2D">
    <w:pPr>
      <w:pStyle w:val="En-tte"/>
      <w:jc w:val="center"/>
    </w:pPr>
    <w:fldSimple w:instr=" STYLEREF &quot;Titre principal&quot;  \* CHARFORMAT ">
      <w:r w:rsidR="00B67F21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B67F21">
        <w:rPr>
          <w:noProof/>
        </w:rPr>
        <w:t>Documentation de projet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6C1C5659" w:rsidR="000371EE" w:rsidRPr="0036400A" w:rsidRDefault="00000000" w:rsidP="009432A5">
    <w:pPr>
      <w:pStyle w:val="En-tte"/>
      <w:jc w:val="center"/>
    </w:pPr>
    <w:fldSimple w:instr=" STYLEREF &quot;Titre principal&quot;  \* CHARFORMAT ">
      <w:r w:rsidR="00B67F21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B67F21">
        <w:rPr>
          <w:noProof/>
        </w:rPr>
        <w:t>Documentation de projet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3E9E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072D1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67832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4B46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755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049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892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21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56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.vsdx"/><Relationship Id="rId28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822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5336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5</cp:revision>
  <cp:lastPrinted>2012-11-27T14:55:00Z</cp:lastPrinted>
  <dcterms:created xsi:type="dcterms:W3CDTF">2023-05-22T06:23:00Z</dcterms:created>
  <dcterms:modified xsi:type="dcterms:W3CDTF">2023-05-23T06:20:00Z</dcterms:modified>
</cp:coreProperties>
</file>