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131" w:rsidRDefault="00CF4131" w:rsidP="00100334">
      <w:pPr>
        <w:spacing w:before="60" w:after="60" w:line="300" w:lineRule="atLeast"/>
      </w:pPr>
      <w:r>
        <w:t>Licence économie appliquée</w:t>
      </w:r>
    </w:p>
    <w:p w:rsidR="002D669C" w:rsidRPr="00100334" w:rsidRDefault="00CF4131" w:rsidP="00100334">
      <w:pPr>
        <w:spacing w:before="60" w:after="60" w:line="300" w:lineRule="atLeast"/>
      </w:pPr>
      <w:r>
        <w:t>Informatique appliquée à la finance</w:t>
      </w:r>
    </w:p>
    <w:p w:rsidR="008D5BBF" w:rsidRPr="00100334" w:rsidRDefault="008D5BBF" w:rsidP="00100334">
      <w:pPr>
        <w:spacing w:before="60" w:after="60" w:line="300" w:lineRule="atLeast"/>
      </w:pPr>
      <w:r w:rsidRPr="00100334">
        <w:t>Université Paris Dauphine</w:t>
      </w:r>
    </w:p>
    <w:p w:rsidR="008D5BBF" w:rsidRDefault="008D5BBF" w:rsidP="00100334">
      <w:pPr>
        <w:spacing w:before="60" w:after="60" w:line="300" w:lineRule="atLeast"/>
      </w:pPr>
      <w:r w:rsidRPr="00100334">
        <w:t xml:space="preserve">Frédéric </w:t>
      </w:r>
      <w:proofErr w:type="spellStart"/>
      <w:r w:rsidRPr="00100334">
        <w:t>Peltrault</w:t>
      </w:r>
      <w:proofErr w:type="spellEnd"/>
    </w:p>
    <w:p w:rsidR="00492F86" w:rsidRDefault="00492F86" w:rsidP="00492F86">
      <w:pPr>
        <w:spacing w:before="60" w:after="60"/>
        <w:jc w:val="center"/>
        <w:rPr>
          <w:b/>
        </w:rPr>
      </w:pPr>
    </w:p>
    <w:p w:rsidR="008D5BBF" w:rsidRPr="00100334" w:rsidRDefault="00A927F1" w:rsidP="0049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center"/>
        <w:rPr>
          <w:b/>
        </w:rPr>
      </w:pPr>
      <w:r>
        <w:rPr>
          <w:b/>
        </w:rPr>
        <w:t>Contrôle</w:t>
      </w:r>
      <w:r w:rsidR="00492F86">
        <w:rPr>
          <w:b/>
        </w:rPr>
        <w:t xml:space="preserve"> en salle informatique</w:t>
      </w:r>
    </w:p>
    <w:p w:rsidR="008D5BBF" w:rsidRDefault="00492F86" w:rsidP="0049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center"/>
        <w:rPr>
          <w:b/>
        </w:rPr>
      </w:pPr>
      <w:r>
        <w:rPr>
          <w:b/>
        </w:rPr>
        <w:t>Vendredi</w:t>
      </w:r>
      <w:r w:rsidR="00A927F1">
        <w:rPr>
          <w:b/>
        </w:rPr>
        <w:t xml:space="preserve"> </w:t>
      </w:r>
      <w:r w:rsidR="00CF4131">
        <w:rPr>
          <w:b/>
        </w:rPr>
        <w:t>24</w:t>
      </w:r>
      <w:r w:rsidR="00A927F1">
        <w:rPr>
          <w:b/>
        </w:rPr>
        <w:t xml:space="preserve"> octobre</w:t>
      </w:r>
    </w:p>
    <w:p w:rsidR="00A927F1" w:rsidRDefault="00047185" w:rsidP="0049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center"/>
        <w:rPr>
          <w:b/>
        </w:rPr>
      </w:pPr>
      <w:r>
        <w:rPr>
          <w:b/>
        </w:rPr>
        <w:t xml:space="preserve">Durée </w:t>
      </w:r>
      <w:r w:rsidR="00492F86">
        <w:rPr>
          <w:b/>
        </w:rPr>
        <w:t>30</w:t>
      </w:r>
      <w:r>
        <w:rPr>
          <w:b/>
        </w:rPr>
        <w:t xml:space="preserve"> minutes</w:t>
      </w:r>
      <w:r w:rsidR="00C05D1B">
        <w:rPr>
          <w:b/>
        </w:rPr>
        <w:t xml:space="preserve"> – Groupe 2</w:t>
      </w:r>
    </w:p>
    <w:p w:rsidR="00EB1B56" w:rsidRDefault="00492F86" w:rsidP="00EB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center"/>
        <w:rPr>
          <w:b/>
        </w:rPr>
      </w:pPr>
      <w:r>
        <w:rPr>
          <w:b/>
        </w:rPr>
        <w:t>Aucun document autorisé</w:t>
      </w:r>
    </w:p>
    <w:p w:rsidR="00EB1B56" w:rsidRPr="00EB1B56" w:rsidRDefault="00EB1B56" w:rsidP="00EB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center"/>
        <w:rPr>
          <w:b/>
        </w:rPr>
      </w:pPr>
    </w:p>
    <w:p w:rsidR="00EB1B56" w:rsidRPr="00EB1B56" w:rsidRDefault="00EB1B56" w:rsidP="00EB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rPr>
          <w:rFonts w:cstheme="minorHAnsi"/>
          <w:u w:val="single"/>
        </w:rPr>
      </w:pPr>
      <w:r w:rsidRPr="00EB1B56">
        <w:rPr>
          <w:rFonts w:cstheme="minorHAnsi"/>
          <w:u w:val="single"/>
        </w:rPr>
        <w:t xml:space="preserve">Enregistrement de votre travail : </w:t>
      </w:r>
    </w:p>
    <w:p w:rsidR="00EB1B56" w:rsidRDefault="00EB1B56" w:rsidP="00EB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</w:rPr>
      </w:pPr>
      <w:r>
        <w:rPr>
          <w:rFonts w:cstheme="minorHAnsi"/>
        </w:rPr>
        <w:t>Tout d’abord, enregistrez régulièrement votre fichier</w:t>
      </w:r>
      <w:r w:rsidRPr="00CF4131">
        <w:rPr>
          <w:rFonts w:cstheme="minorHAnsi"/>
          <w:b/>
          <w:u w:val="single"/>
        </w:rPr>
        <w:t xml:space="preserve"> sur votre répertoire</w:t>
      </w:r>
      <w:r>
        <w:rPr>
          <w:rFonts w:cstheme="minorHAnsi"/>
        </w:rPr>
        <w:t xml:space="preserve"> selon le modèle suivant : </w:t>
      </w:r>
      <w:r w:rsidR="00CF4131">
        <w:rPr>
          <w:rFonts w:cstheme="minorHAnsi"/>
        </w:rPr>
        <w:t>TSI1</w:t>
      </w:r>
      <w:r>
        <w:rPr>
          <w:rFonts w:cstheme="minorHAnsi"/>
        </w:rPr>
        <w:t>_</w:t>
      </w:r>
      <w:r w:rsidR="00CF4131">
        <w:rPr>
          <w:rFonts w:cstheme="minorHAnsi"/>
        </w:rPr>
        <w:t>VotreGroupe_</w:t>
      </w:r>
      <w:r>
        <w:rPr>
          <w:rFonts w:cstheme="minorHAnsi"/>
        </w:rPr>
        <w:t>VotreNom_VotrePrénom</w:t>
      </w:r>
    </w:p>
    <w:p w:rsidR="00EB1B56" w:rsidRPr="00A97302" w:rsidRDefault="00EB1B56" w:rsidP="00EB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</w:rPr>
      </w:pPr>
      <w:r>
        <w:rPr>
          <w:rFonts w:cstheme="minorHAnsi"/>
        </w:rPr>
        <w:t>A la fin de l’épreuve, enregistre</w:t>
      </w:r>
      <w:r w:rsidR="00647671">
        <w:rPr>
          <w:rFonts w:cstheme="minorHAnsi"/>
        </w:rPr>
        <w:t>z</w:t>
      </w:r>
      <w:r>
        <w:rPr>
          <w:rFonts w:cstheme="minorHAnsi"/>
        </w:rPr>
        <w:t xml:space="preserve"> puis </w:t>
      </w:r>
      <w:r w:rsidR="00647671">
        <w:rPr>
          <w:rFonts w:cstheme="minorHAnsi"/>
        </w:rPr>
        <w:t>fermez</w:t>
      </w:r>
      <w:r>
        <w:rPr>
          <w:rFonts w:cstheme="minorHAnsi"/>
        </w:rPr>
        <w:t xml:space="preserve"> votre fichier.  </w:t>
      </w:r>
      <w:r w:rsidRPr="00CF4131">
        <w:rPr>
          <w:rFonts w:cstheme="minorHAnsi"/>
          <w:b/>
        </w:rPr>
        <w:t>Copier-coller votre travail dans mon répertoire « EXAM »</w:t>
      </w:r>
      <w:r>
        <w:rPr>
          <w:rFonts w:cstheme="minorHAnsi"/>
        </w:rPr>
        <w:t>. Une fois cette étape achevée, vous ne pourrez plus ouvrir votre fichier.</w:t>
      </w:r>
    </w:p>
    <w:p w:rsidR="00EB1B56" w:rsidRDefault="00EB1B56" w:rsidP="00A927F1">
      <w:pPr>
        <w:jc w:val="both"/>
      </w:pPr>
    </w:p>
    <w:p w:rsidR="00C14766" w:rsidRDefault="00C14766" w:rsidP="00A927F1">
      <w:pPr>
        <w:jc w:val="both"/>
      </w:pPr>
      <w:r>
        <w:t xml:space="preserve">Vous occupez un poste d’économiste au conseil de la concurrence. Dans ce cadre, </w:t>
      </w:r>
      <w:r w:rsidRPr="00E204A2">
        <w:t xml:space="preserve">vous </w:t>
      </w:r>
      <w:r>
        <w:t xml:space="preserve">devez évaluer </w:t>
      </w:r>
      <w:r w:rsidR="00B67D86">
        <w:t>le degré de concentration d’une industrie</w:t>
      </w:r>
      <w:r>
        <w:t xml:space="preserve"> (par exem</w:t>
      </w:r>
      <w:r w:rsidR="00E204A2">
        <w:t>ple l’industrie pharmaceutique).</w:t>
      </w:r>
      <w:r>
        <w:t xml:space="preserve"> Le secteur industriel se décompose en plusieurs </w:t>
      </w:r>
      <w:r w:rsidR="002D32EE">
        <w:t>marchés (par exemple certaines catégories de</w:t>
      </w:r>
      <w:r>
        <w:t xml:space="preserve"> médicaments). La feuille « </w:t>
      </w:r>
      <w:r w:rsidR="006C7A88">
        <w:rPr>
          <w:b/>
        </w:rPr>
        <w:t>CA</w:t>
      </w:r>
      <w:r>
        <w:t> » du classeur Excel « </w:t>
      </w:r>
      <w:r w:rsidR="00CF4131" w:rsidRPr="006C7A88">
        <w:rPr>
          <w:b/>
        </w:rPr>
        <w:t>TSIn°1_Gr2</w:t>
      </w:r>
      <w:r>
        <w:t> » donne les ventes des 15 entreprises du secteur industriel</w:t>
      </w:r>
      <w:r w:rsidR="00B67D86">
        <w:t xml:space="preserve"> sur 5 marchés</w:t>
      </w:r>
      <w:r>
        <w:t xml:space="preserve">. </w:t>
      </w:r>
    </w:p>
    <w:p w:rsidR="006C7A88" w:rsidRDefault="006C7A88" w:rsidP="006C7A88">
      <w:pPr>
        <w:jc w:val="center"/>
      </w:pPr>
      <w:r>
        <w:rPr>
          <w:noProof/>
        </w:rPr>
        <w:drawing>
          <wp:inline distT="0" distB="0" distL="0" distR="0" wp14:anchorId="6DF90D32" wp14:editId="669B8083">
            <wp:extent cx="3564000" cy="2489464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4000" cy="248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86" w:rsidRDefault="00B67D86" w:rsidP="00B67D86">
      <w:pPr>
        <w:ind w:left="360"/>
      </w:pPr>
      <w:r>
        <w:t>Le degré de concentration est évalué à l’aide de l’i</w:t>
      </w:r>
      <w:r w:rsidRPr="00D57B7B">
        <w:t>ndice d'</w:t>
      </w:r>
      <w:proofErr w:type="spellStart"/>
      <w:r w:rsidRPr="00D57B7B">
        <w:t>Herfindahl-Hirschmann</w:t>
      </w:r>
      <w:proofErr w:type="spellEnd"/>
      <w:r w:rsidR="006C7A88">
        <w:t xml:space="preserve"> (IHH).</w:t>
      </w:r>
    </w:p>
    <w:p w:rsidR="00B67D86" w:rsidRPr="00B67D86" w:rsidRDefault="00B67D86" w:rsidP="00A927F1">
      <w:pPr>
        <w:jc w:val="both"/>
      </w:pPr>
      <m:oMathPara>
        <m:oMath>
          <m:r>
            <w:rPr>
              <w:rFonts w:ascii="Cambria Math" w:hAnsi="Cambria Math"/>
            </w:rPr>
            <m:t>IHH=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:rsidR="00B67D86" w:rsidRDefault="00B67D86" w:rsidP="00A927F1">
      <w:pPr>
        <w:jc w:val="both"/>
      </w:pPr>
      <w:r>
        <w:t xml:space="preserve">Où </w:t>
      </w:r>
      <w:r w:rsidRPr="00B67D86">
        <w:rPr>
          <w:i/>
        </w:rPr>
        <w:t>pm</w:t>
      </w:r>
      <w:r w:rsidRPr="00B67D86">
        <w:rPr>
          <w:i/>
          <w:vertAlign w:val="subscript"/>
        </w:rPr>
        <w:t>i</w:t>
      </w:r>
      <w:r>
        <w:t xml:space="preserve"> est la part de marché de l’entreprise </w:t>
      </w:r>
      <w:r w:rsidRPr="00B67D86">
        <w:rPr>
          <w:i/>
        </w:rPr>
        <w:t>i</w:t>
      </w:r>
      <w:r w:rsidR="00E204A2" w:rsidRPr="00E204A2">
        <w:t xml:space="preserve"> multipliée par 100</w:t>
      </w:r>
      <w:r>
        <w:t>.</w:t>
      </w:r>
      <w:r w:rsidR="00E204A2">
        <w:t xml:space="preserve"> </w:t>
      </w:r>
      <w:r w:rsidR="006C7A88">
        <w:t xml:space="preserve">IHH est alors compris entre 100/n et 10 000.  </w:t>
      </w:r>
      <w:r w:rsidR="00E204A2">
        <w:t>On considèrera que le degré de concentration est élevé si l’indice est supérieur à 1</w:t>
      </w:r>
      <w:r w:rsidR="00CF4131">
        <w:t>5</w:t>
      </w:r>
      <w:r w:rsidR="00E204A2">
        <w:t>00.</w:t>
      </w:r>
    </w:p>
    <w:p w:rsidR="00C14766" w:rsidRPr="00637FD5" w:rsidRDefault="00C14766" w:rsidP="00C14766">
      <w:pPr>
        <w:rPr>
          <w:b/>
        </w:rPr>
      </w:pPr>
      <w:r w:rsidRPr="00637FD5">
        <w:rPr>
          <w:b/>
        </w:rPr>
        <w:lastRenderedPageBreak/>
        <w:t>Travail à faire</w:t>
      </w:r>
    </w:p>
    <w:p w:rsidR="006C7A88" w:rsidRDefault="00A550C9" w:rsidP="00B67D86">
      <w:pPr>
        <w:jc w:val="both"/>
      </w:pPr>
      <w:r>
        <w:t xml:space="preserve">Complétez la procédure  </w:t>
      </w:r>
      <w:proofErr w:type="spellStart"/>
      <w:r w:rsidRPr="00A550C9">
        <w:rPr>
          <w:b/>
        </w:rPr>
        <w:t>Proc</w:t>
      </w:r>
      <w:r w:rsidR="006C7A88">
        <w:rPr>
          <w:b/>
        </w:rPr>
        <w:t>Concentration</w:t>
      </w:r>
      <w:proofErr w:type="spellEnd"/>
      <w:r>
        <w:t xml:space="preserve"> </w:t>
      </w:r>
      <w:r w:rsidR="00B67D86">
        <w:t xml:space="preserve">du module de code </w:t>
      </w:r>
      <w:r w:rsidR="006C7A88">
        <w:rPr>
          <w:b/>
        </w:rPr>
        <w:t>Concentration</w:t>
      </w:r>
      <w:r w:rsidR="00B67D86">
        <w:t>.</w:t>
      </w:r>
    </w:p>
    <w:p w:rsidR="006C7A88" w:rsidRDefault="00B67D86" w:rsidP="00B67D86">
      <w:pPr>
        <w:jc w:val="both"/>
      </w:pPr>
      <w:r>
        <w:t>Cette procédure</w:t>
      </w:r>
      <w:r w:rsidR="00A550C9">
        <w:t xml:space="preserve"> </w:t>
      </w:r>
      <w:r w:rsidR="006C7A88">
        <w:t>reporte tout d’abord, sur le tableau 3 de la feuille «</w:t>
      </w:r>
      <w:r w:rsidR="006C7A88" w:rsidRPr="006C7A88">
        <w:rPr>
          <w:b/>
        </w:rPr>
        <w:t> concentration</w:t>
      </w:r>
      <w:r w:rsidR="006C7A88">
        <w:t xml:space="preserve"> », la taille de chaque marché en calculant la somme des ventes réalisées par les entreprises </w:t>
      </w:r>
      <w:r w:rsidR="00C05D1B">
        <w:t xml:space="preserve">(données </w:t>
      </w:r>
      <w:r w:rsidR="006C7A88">
        <w:t>disponibles sur a feuille « </w:t>
      </w:r>
      <w:r w:rsidR="006C7A88" w:rsidRPr="006C7A88">
        <w:rPr>
          <w:b/>
        </w:rPr>
        <w:t>CA</w:t>
      </w:r>
      <w:r w:rsidR="006C7A88">
        <w:t> »</w:t>
      </w:r>
      <w:r w:rsidR="00C05D1B">
        <w:t>)</w:t>
      </w:r>
      <w:r w:rsidR="006C7A88">
        <w:t>.</w:t>
      </w:r>
      <w:r w:rsidR="00D57B7B">
        <w:t xml:space="preserve"> </w:t>
      </w:r>
    </w:p>
    <w:p w:rsidR="002D32EE" w:rsidRDefault="002904E1" w:rsidP="002D32EE">
      <w:r>
        <w:rPr>
          <w:noProof/>
        </w:rPr>
        <w:drawing>
          <wp:inline distT="0" distB="0" distL="0" distR="0" wp14:anchorId="4D4E89B2" wp14:editId="708AB89A">
            <wp:extent cx="5760720" cy="107607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88" w:rsidRDefault="006C7A88" w:rsidP="006C7A88">
      <w:pPr>
        <w:jc w:val="both"/>
      </w:pPr>
      <w:r>
        <w:t xml:space="preserve">Puis, la procédure reporte sur la feuille « PM » la part de marché des entreprises sur les 5 marchés. </w:t>
      </w:r>
    </w:p>
    <w:p w:rsidR="006C7A88" w:rsidRDefault="006C7A88" w:rsidP="00637FD5">
      <w:pPr>
        <w:jc w:val="center"/>
      </w:pPr>
      <w:r>
        <w:rPr>
          <w:noProof/>
        </w:rPr>
        <w:drawing>
          <wp:inline distT="0" distB="0" distL="0" distR="0" wp14:anchorId="3E39814C" wp14:editId="18F62F9E">
            <wp:extent cx="4608000" cy="3276608"/>
            <wp:effectExtent l="0" t="0" r="254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8000" cy="327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2EE" w:rsidRDefault="006C7A88" w:rsidP="006C7A88">
      <w:r>
        <w:t>Enfin, la procédure calcule et</w:t>
      </w:r>
      <w:r w:rsidR="00B4458C">
        <w:t xml:space="preserve"> </w:t>
      </w:r>
      <w:r>
        <w:t>reporte</w:t>
      </w:r>
      <w:r w:rsidR="002D32EE">
        <w:t xml:space="preserve"> </w:t>
      </w:r>
      <w:r w:rsidR="00B4458C">
        <w:t>dans le tableau 3 de la feuille « </w:t>
      </w:r>
      <w:r>
        <w:rPr>
          <w:b/>
        </w:rPr>
        <w:t>Concentration</w:t>
      </w:r>
      <w:r w:rsidR="00B4458C">
        <w:t xml:space="preserve"> » </w:t>
      </w:r>
      <w:r w:rsidR="002D32EE">
        <w:t>la valeur de l’i</w:t>
      </w:r>
      <w:r w:rsidR="002D32EE" w:rsidRPr="00D57B7B">
        <w:t>ndice d'</w:t>
      </w:r>
      <w:proofErr w:type="spellStart"/>
      <w:r w:rsidR="002D32EE" w:rsidRPr="00D57B7B">
        <w:t>Herfindahl-</w:t>
      </w:r>
      <w:proofErr w:type="gramStart"/>
      <w:r w:rsidR="002D32EE" w:rsidRPr="00D57B7B">
        <w:t>Hirschmann</w:t>
      </w:r>
      <w:proofErr w:type="spellEnd"/>
      <w:r w:rsidR="002D32EE">
        <w:t xml:space="preserve"> </w:t>
      </w:r>
      <w:r w:rsidR="00B4458C">
        <w:t>.</w:t>
      </w:r>
      <w:proofErr w:type="gramEnd"/>
      <w:r>
        <w:t xml:space="preserve"> </w:t>
      </w:r>
      <w:bookmarkStart w:id="0" w:name="_GoBack"/>
      <w:bookmarkEnd w:id="0"/>
      <w:r>
        <w:t>Respectez la mise en forme des cellules du tableau 3.</w:t>
      </w:r>
    </w:p>
    <w:p w:rsidR="009F0B75" w:rsidRDefault="009F0B75" w:rsidP="002D32EE">
      <w:pPr>
        <w:ind w:left="360"/>
      </w:pPr>
      <w:r>
        <w:t>On obtient le résultat suivant :</w:t>
      </w:r>
    </w:p>
    <w:p w:rsidR="00A927F1" w:rsidRPr="00083700" w:rsidRDefault="00CF4131" w:rsidP="00B4458C">
      <w:pPr>
        <w:rPr>
          <w:b/>
        </w:rPr>
      </w:pPr>
      <w:r>
        <w:rPr>
          <w:noProof/>
        </w:rPr>
        <w:drawing>
          <wp:inline distT="0" distB="0" distL="0" distR="0" wp14:anchorId="100DA069" wp14:editId="02C8ABA7">
            <wp:extent cx="5760720" cy="1033818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7F1" w:rsidRPr="00083700" w:rsidSect="000869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14BEA"/>
    <w:multiLevelType w:val="hybridMultilevel"/>
    <w:tmpl w:val="96F0DC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B0369"/>
    <w:multiLevelType w:val="hybridMultilevel"/>
    <w:tmpl w:val="2056D6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EF7E5C"/>
    <w:multiLevelType w:val="hybridMultilevel"/>
    <w:tmpl w:val="959E54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C5282F"/>
    <w:multiLevelType w:val="hybridMultilevel"/>
    <w:tmpl w:val="B81A3E16"/>
    <w:lvl w:ilvl="0" w:tplc="040C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>
    <w:nsid w:val="58590620"/>
    <w:multiLevelType w:val="hybridMultilevel"/>
    <w:tmpl w:val="1A3E4566"/>
    <w:lvl w:ilvl="0" w:tplc="3856C07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743DF8"/>
    <w:multiLevelType w:val="hybridMultilevel"/>
    <w:tmpl w:val="8E4C99C8"/>
    <w:lvl w:ilvl="0" w:tplc="E9D4005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FB3FE3"/>
    <w:multiLevelType w:val="hybridMultilevel"/>
    <w:tmpl w:val="453EA9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57A"/>
    <w:rsid w:val="00047185"/>
    <w:rsid w:val="00083700"/>
    <w:rsid w:val="0008690D"/>
    <w:rsid w:val="000A407F"/>
    <w:rsid w:val="00100334"/>
    <w:rsid w:val="00262B41"/>
    <w:rsid w:val="002904E1"/>
    <w:rsid w:val="002C2902"/>
    <w:rsid w:val="002D32EE"/>
    <w:rsid w:val="002F1C96"/>
    <w:rsid w:val="003F535E"/>
    <w:rsid w:val="003F7BE4"/>
    <w:rsid w:val="00435AEE"/>
    <w:rsid w:val="00492F86"/>
    <w:rsid w:val="00540B19"/>
    <w:rsid w:val="0056695C"/>
    <w:rsid w:val="006122A7"/>
    <w:rsid w:val="00625D93"/>
    <w:rsid w:val="00637FD5"/>
    <w:rsid w:val="00647671"/>
    <w:rsid w:val="00666399"/>
    <w:rsid w:val="006B26A3"/>
    <w:rsid w:val="006C7A88"/>
    <w:rsid w:val="007120F5"/>
    <w:rsid w:val="00823794"/>
    <w:rsid w:val="008558EB"/>
    <w:rsid w:val="008D5BBF"/>
    <w:rsid w:val="009B057A"/>
    <w:rsid w:val="009F0B75"/>
    <w:rsid w:val="00A221AE"/>
    <w:rsid w:val="00A364EF"/>
    <w:rsid w:val="00A550C9"/>
    <w:rsid w:val="00A927F1"/>
    <w:rsid w:val="00AA7DAF"/>
    <w:rsid w:val="00AE2DA5"/>
    <w:rsid w:val="00B236D2"/>
    <w:rsid w:val="00B4458C"/>
    <w:rsid w:val="00B67D86"/>
    <w:rsid w:val="00C05D1B"/>
    <w:rsid w:val="00C14766"/>
    <w:rsid w:val="00C76976"/>
    <w:rsid w:val="00C97EFE"/>
    <w:rsid w:val="00CF4131"/>
    <w:rsid w:val="00D57B7B"/>
    <w:rsid w:val="00E204A2"/>
    <w:rsid w:val="00EB1B56"/>
    <w:rsid w:val="00FC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0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10033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92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27F1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A927F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0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10033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92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27F1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A927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302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Peltrault</dc:creator>
  <cp:lastModifiedBy>Frederic Peltrault</cp:lastModifiedBy>
  <cp:revision>4</cp:revision>
  <cp:lastPrinted>2014-10-23T14:47:00Z</cp:lastPrinted>
  <dcterms:created xsi:type="dcterms:W3CDTF">2014-10-23T13:40:00Z</dcterms:created>
  <dcterms:modified xsi:type="dcterms:W3CDTF">2014-10-23T14:50:00Z</dcterms:modified>
</cp:coreProperties>
</file>