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936"/>
            <w:shd w:fill="1F4E79"/>
            <w:tcBorders>
              <w:left w:val="single" w:sz="0" w:color="1F4E79"/>
              <w:top w:val="single" w:sz="0" w:color="1F4E79"/>
              <w:right w:val="single" w:sz="0" w:color="1F4E79"/>
              <w:bottom w:val="single" w:sz="0" w:color="1F4E79"/>
            </w:tcBorders>
          </w:tcPr>
          <w:p>
            <w:pPr>
              <w:spacing w:before="0" w:after="0" w:line="240" w:lineRule="auto"/>
              <w:jc w:val="left"/>
            </w:pPr>
            <w:r>
              <w:rPr>
                <w:rFonts w:ascii="Aptos" w:hAnsi="Aptos"/>
                <w:b/>
                <w:color w:val="FFFFFF"/>
                <w:sz w:val="36"/>
              </w:rPr>
              <w:t>CONTROLES SGSI - PRESENTACION CONSOLIDADA</w:t>
            </w:r>
          </w:p>
        </w:tc>
      </w:tr>
    </w:tbl>
    <w:p/>
    <w:p>
      <w:pPr>
        <w:spacing w:before="0" w:after="40" w:line="240" w:lineRule="auto"/>
      </w:pPr>
      <w:r>
        <w:rPr>
          <w:rFonts w:ascii="Aptos" w:hAnsi="Aptos"/>
          <w:b/>
          <w:color w:val="17324D"/>
          <w:sz w:val="44"/>
        </w:rPr>
        <w:t>Secciones extraídas y ordenadas por numeral</w:t>
      </w:r>
    </w:p>
    <w:p>
      <w:pPr>
        <w:spacing w:before="0" w:after="160" w:line="240" w:lineRule="auto"/>
      </w:pPr>
      <w:r>
        <w:rPr>
          <w:rFonts w:ascii="Aptos" w:hAnsi="Aptos"/>
          <w:b w:val="0"/>
          <w:color w:val="667085"/>
          <w:sz w:val="22"/>
        </w:rPr>
        <w:t>Documento de referencia preparado a partir del archivo de extracción automática.</w:t>
      </w:r>
    </w:p>
    <w:tbl>
      <w:tblPr>
        <w:tblW w:type="auto" w:w="0"/>
        <w:jc w:val="left"/>
        <w:tblLayout w:type="fixed"/>
        <w:tblLook w:firstColumn="1" w:firstRow="1" w:lastColumn="0" w:lastRow="0" w:noHBand="0" w:noVBand="1" w:val="04A0"/>
      </w:tblPr>
      <w:tblGrid>
        <w:gridCol w:w="2304"/>
        <w:gridCol w:w="7056"/>
      </w:tblGrid>
      <w:tr>
        <w:tc>
          <w:tcPr>
            <w:tcW w:type="dxa" w:w="4968"/>
            <w:shd w:fill="D9E6F2"/>
            <w:vAlign w:val="center"/>
            <w:tcBorders>
              <w:left w:val="single" w:sz="6" w:color="D0D8E2"/>
              <w:top w:val="single" w:sz="6" w:color="D0D8E2"/>
              <w:right w:val="single" w:sz="6" w:color="D0D8E2"/>
              <w:bottom w:val="single" w:sz="6" w:color="D0D8E2"/>
            </w:tcBorders>
          </w:tcPr>
          <w:p>
            <w:pPr>
              <w:jc w:val="left"/>
            </w:pPr>
            <w:r>
              <w:rPr>
                <w:rFonts w:ascii="Aptos" w:hAnsi="Aptos"/>
                <w:b/>
                <w:color w:val="17324D"/>
                <w:sz w:val="20"/>
              </w:rPr>
              <w:t>Fuente</w:t>
            </w:r>
          </w:p>
        </w:tc>
        <w:tc>
          <w:tcPr>
            <w:tcW w:type="dxa" w:w="4968"/>
            <w:vAlign w:val="center"/>
            <w:tcBorders>
              <w:left w:val="single" w:sz="6" w:color="D0D8E2"/>
              <w:top w:val="single" w:sz="6" w:color="D0D8E2"/>
              <w:right w:val="single" w:sz="6" w:color="D0D8E2"/>
              <w:bottom w:val="single" w:sz="6" w:color="D0D8E2"/>
            </w:tcBorders>
          </w:tcPr>
          <w:p>
            <w:pPr>
              <w:jc w:val="left"/>
            </w:pPr>
            <w:r>
              <w:rPr>
                <w:rFonts w:ascii="Aptos" w:hAnsi="Aptos"/>
                <w:b w:val="0"/>
                <w:color w:val="2A2A2A"/>
                <w:sz w:val="20"/>
              </w:rPr>
              <w:t>secciones-extraidas.txt</w:t>
            </w:r>
          </w:p>
        </w:tc>
      </w:tr>
      <w:tr>
        <w:tc>
          <w:tcPr>
            <w:tcW w:type="dxa" w:w="4968"/>
            <w:shd w:fill="D9E6F2"/>
            <w:vAlign w:val="center"/>
            <w:tcBorders>
              <w:left w:val="single" w:sz="6" w:color="D0D8E2"/>
              <w:top w:val="single" w:sz="6" w:color="D0D8E2"/>
              <w:right w:val="single" w:sz="6" w:color="D0D8E2"/>
              <w:bottom w:val="single" w:sz="6" w:color="D0D8E2"/>
            </w:tcBorders>
          </w:tcPr>
          <w:p>
            <w:pPr>
              <w:jc w:val="left"/>
            </w:pPr>
            <w:r>
              <w:rPr>
                <w:rFonts w:ascii="Aptos" w:hAnsi="Aptos"/>
                <w:b/>
                <w:color w:val="17324D"/>
                <w:sz w:val="20"/>
              </w:rPr>
              <w:t>Alcance</w:t>
            </w:r>
          </w:p>
        </w:tc>
        <w:tc>
          <w:tcPr>
            <w:tcW w:type="dxa" w:w="4968"/>
            <w:vAlign w:val="center"/>
            <w:tcBorders>
              <w:left w:val="single" w:sz="6" w:color="D0D8E2"/>
              <w:top w:val="single" w:sz="6" w:color="D0D8E2"/>
              <w:right w:val="single" w:sz="6" w:color="D0D8E2"/>
              <w:bottom w:val="single" w:sz="6" w:color="D0D8E2"/>
            </w:tcBorders>
          </w:tcPr>
          <w:p>
            <w:pPr>
              <w:jc w:val="left"/>
            </w:pPr>
            <w:r>
              <w:rPr>
                <w:rFonts w:ascii="Aptos" w:hAnsi="Aptos"/>
                <w:b w:val="0"/>
                <w:color w:val="2A2A2A"/>
                <w:sz w:val="20"/>
              </w:rPr>
              <w:t>Controles de la cláusula 4 del SGSI identificados en el extracto</w:t>
            </w:r>
          </w:p>
        </w:tc>
      </w:tr>
    </w:tbl>
    <w:p/>
    <w:tbl>
      <w:tblPr>
        <w:tblW w:type="auto" w:w="0"/>
        <w:jc w:val="center"/>
        <w:tblLayout w:type="fixed"/>
        <w:tblLook w:firstColumn="1" w:firstRow="1" w:lastColumn="0" w:lastRow="0" w:noHBand="0" w:noVBand="1" w:val="04A0"/>
      </w:tblPr>
      <w:tblGrid>
        <w:gridCol w:w="3024"/>
        <w:gridCol w:w="3024"/>
        <w:gridCol w:w="3024"/>
      </w:tblGrid>
      <w:tr>
        <w:tc>
          <w:tcPr>
            <w:tcW w:type="dxa" w:w="3312"/>
            <w:shd w:fill="F7FAFC"/>
            <w:tcBorders>
              <w:left w:val="single" w:sz="8" w:color="D9E6F2"/>
              <w:top w:val="single" w:sz="8" w:color="D9E6F2"/>
              <w:right w:val="single" w:sz="8" w:color="D9E6F2"/>
              <w:bottom w:val="single" w:sz="8" w:color="D9E6F2"/>
            </w:tcBorders>
            <w:vAlign w:val="center"/>
          </w:tcPr>
          <w:p>
            <w:pPr>
              <w:jc w:val="center"/>
            </w:pPr>
            <w:r>
              <w:rPr>
                <w:rFonts w:ascii="Aptos" w:hAnsi="Aptos"/>
                <w:b/>
                <w:color w:val="1F4E79"/>
                <w:sz w:val="36"/>
              </w:rPr>
              <w:t>4</w:t>
              <w:br/>
            </w:r>
            <w:r>
              <w:rPr>
                <w:rFonts w:ascii="Aptos" w:hAnsi="Aptos"/>
                <w:b w:val="0"/>
                <w:color w:val="667085"/>
                <w:sz w:val="19"/>
              </w:rPr>
              <w:t>controles únicos</w:t>
            </w:r>
          </w:p>
        </w:tc>
        <w:tc>
          <w:tcPr>
            <w:tcW w:type="dxa" w:w="3312"/>
            <w:shd w:fill="F7FAFC"/>
            <w:tcBorders>
              <w:left w:val="single" w:sz="8" w:color="D9E6F2"/>
              <w:top w:val="single" w:sz="8" w:color="D9E6F2"/>
              <w:right w:val="single" w:sz="8" w:color="D9E6F2"/>
              <w:bottom w:val="single" w:sz="8" w:color="D9E6F2"/>
            </w:tcBorders>
            <w:vAlign w:val="center"/>
          </w:tcPr>
          <w:p>
            <w:pPr>
              <w:jc w:val="center"/>
            </w:pPr>
            <w:r>
              <w:rPr>
                <w:rFonts w:ascii="Aptos" w:hAnsi="Aptos"/>
                <w:b/>
                <w:color w:val="1F4E79"/>
                <w:sz w:val="36"/>
              </w:rPr>
              <w:t>8</w:t>
              <w:br/>
            </w:r>
            <w:r>
              <w:rPr>
                <w:rFonts w:ascii="Aptos" w:hAnsi="Aptos"/>
                <w:b w:val="0"/>
                <w:color w:val="667085"/>
                <w:sz w:val="19"/>
              </w:rPr>
              <w:t>secciones extraídas</w:t>
            </w:r>
          </w:p>
        </w:tc>
        <w:tc>
          <w:tcPr>
            <w:tcW w:type="dxa" w:w="3312"/>
            <w:shd w:fill="F7FAFC"/>
            <w:tcBorders>
              <w:left w:val="single" w:sz="8" w:color="D9E6F2"/>
              <w:top w:val="single" w:sz="8" w:color="D9E6F2"/>
              <w:right w:val="single" w:sz="8" w:color="D9E6F2"/>
              <w:bottom w:val="single" w:sz="8" w:color="D9E6F2"/>
            </w:tcBorders>
            <w:vAlign w:val="center"/>
          </w:tcPr>
          <w:p>
            <w:pPr>
              <w:jc w:val="center"/>
            </w:pPr>
            <w:r>
              <w:rPr>
                <w:rFonts w:ascii="Aptos" w:hAnsi="Aptos"/>
                <w:b/>
                <w:color w:val="1F4E79"/>
                <w:sz w:val="36"/>
              </w:rPr>
              <w:t>4</w:t>
              <w:br/>
            </w:r>
            <w:r>
              <w:rPr>
                <w:rFonts w:ascii="Aptos" w:hAnsi="Aptos"/>
                <w:b w:val="0"/>
                <w:color w:val="667085"/>
                <w:sz w:val="19"/>
              </w:rPr>
              <w:t>duplicidades consolidadas</w:t>
            </w:r>
          </w:p>
        </w:tc>
      </w:tr>
    </w:tbl>
    <w:p/>
    <w:p>
      <w:pPr>
        <w:spacing w:before="200" w:after="80" w:line="240" w:lineRule="auto"/>
      </w:pPr>
      <w:r>
        <w:rPr>
          <w:rFonts w:ascii="Aptos" w:hAnsi="Aptos"/>
          <w:b/>
          <w:color w:val="17324D"/>
          <w:sz w:val="28"/>
        </w:rPr>
        <w:t>Resumen ejecutivo</w:t>
      </w:r>
    </w:p>
    <w:tbl>
      <w:tblPr>
        <w:tblW w:type="auto" w:w="0"/>
        <w:jc w:val="left"/>
        <w:tblLayout w:type="fixed"/>
        <w:tblLook w:firstColumn="1" w:firstRow="1" w:lastColumn="0" w:lastRow="0" w:noHBand="0" w:noVBand="1" w:val="04A0"/>
      </w:tblPr>
      <w:tblGrid>
        <w:gridCol w:w="9792"/>
      </w:tblGrid>
      <w:tr>
        <w:tc>
          <w:tcPr>
            <w:tcW w:type="dxa" w:w="9936"/>
            <w:shd w:fill="F7FAFC"/>
            <w:tcBorders>
              <w:left w:val="single" w:sz="10" w:color="1F4E79"/>
              <w:top w:val="single" w:sz="6" w:color="D9E6F2"/>
              <w:right w:val="single" w:sz="6" w:color="D9E6F2"/>
              <w:bottom w:val="single" w:sz="6" w:color="D9E6F2"/>
            </w:tcBorders>
          </w:tcPr>
          <w:p>
            <w:pPr>
              <w:spacing w:before="0" w:after="0" w:line="288" w:lineRule="auto"/>
            </w:pPr>
            <w:r>
              <w:rPr>
                <w:rFonts w:ascii="Aptos" w:hAnsi="Aptos"/>
                <w:b w:val="0"/>
                <w:color w:val="2A2A2A"/>
                <w:sz w:val="20"/>
              </w:rPr>
              <w:t>El extracto original presentó secciones repetidas y, en un caso, contenido cruzado entre numerales. Para esta versión se consolidó un registro único por control, priorizando el bloque cuyo contenido coincidía con el numeral mostrado en el cuerpo del texto.</w:t>
            </w:r>
          </w:p>
        </w:tc>
      </w:tr>
    </w:tbl>
    <w:p/>
    <w:p>
      <w:pPr>
        <w:spacing w:before="200" w:after="80" w:line="240" w:lineRule="auto"/>
      </w:pPr>
      <w:r>
        <w:rPr>
          <w:rFonts w:ascii="Aptos" w:hAnsi="Aptos"/>
          <w:b/>
          <w:color w:val="17324D"/>
          <w:sz w:val="25"/>
        </w:rPr>
        <w:t>Matriz de controles consolidados</w:t>
      </w:r>
    </w:p>
    <w:tbl>
      <w:tblPr>
        <w:tblW w:type="auto" w:w="0"/>
        <w:jc w:val="center"/>
        <w:tblLayout w:type="fixed"/>
        <w:tblLook w:firstColumn="1" w:firstRow="1" w:lastColumn="0" w:lastRow="0" w:noHBand="0" w:noVBand="1" w:val="04A0"/>
      </w:tblPr>
      <w:tblGrid>
        <w:gridCol w:w="1152"/>
        <w:gridCol w:w="4752"/>
        <w:gridCol w:w="1440"/>
        <w:gridCol w:w="2448"/>
      </w:tblGrid>
      <w:tr>
        <w:tc>
          <w:tcPr>
            <w:tcW w:type="dxa" w:w="2484"/>
            <w:shd w:fill="1F4E79"/>
            <w:tcBorders>
              <w:left w:val="single" w:sz="8" w:color="1F4E79"/>
              <w:top w:val="single" w:sz="8" w:color="1F4E79"/>
              <w:right w:val="single" w:sz="8" w:color="1F4E79"/>
              <w:bottom w:val="single" w:sz="8" w:color="1F4E79"/>
            </w:tcBorders>
            <w:vAlign w:val="center"/>
          </w:tcPr>
          <w:p>
            <w:pPr>
              <w:jc w:val="center"/>
            </w:pPr>
            <w:r>
              <w:rPr>
                <w:rFonts w:ascii="Aptos" w:hAnsi="Aptos"/>
                <w:b/>
                <w:color w:val="FFFFFF"/>
                <w:sz w:val="20"/>
              </w:rPr>
              <w:t>Numeral</w:t>
            </w:r>
          </w:p>
        </w:tc>
        <w:tc>
          <w:tcPr>
            <w:tcW w:type="dxa" w:w="2484"/>
            <w:shd w:fill="1F4E79"/>
            <w:tcBorders>
              <w:left w:val="single" w:sz="8" w:color="1F4E79"/>
              <w:top w:val="single" w:sz="8" w:color="1F4E79"/>
              <w:right w:val="single" w:sz="8" w:color="1F4E79"/>
              <w:bottom w:val="single" w:sz="8" w:color="1F4E79"/>
            </w:tcBorders>
            <w:vAlign w:val="center"/>
          </w:tcPr>
          <w:p>
            <w:pPr>
              <w:jc w:val="center"/>
            </w:pPr>
            <w:r>
              <w:rPr>
                <w:rFonts w:ascii="Aptos" w:hAnsi="Aptos"/>
                <w:b/>
                <w:color w:val="FFFFFF"/>
                <w:sz w:val="20"/>
              </w:rPr>
              <w:t>Control</w:t>
            </w:r>
          </w:p>
        </w:tc>
        <w:tc>
          <w:tcPr>
            <w:tcW w:type="dxa" w:w="2484"/>
            <w:shd w:fill="1F4E79"/>
            <w:tcBorders>
              <w:left w:val="single" w:sz="8" w:color="1F4E79"/>
              <w:top w:val="single" w:sz="8" w:color="1F4E79"/>
              <w:right w:val="single" w:sz="8" w:color="1F4E79"/>
              <w:bottom w:val="single" w:sz="8" w:color="1F4E79"/>
            </w:tcBorders>
            <w:vAlign w:val="center"/>
          </w:tcPr>
          <w:p>
            <w:pPr>
              <w:jc w:val="center"/>
            </w:pPr>
            <w:r>
              <w:rPr>
                <w:rFonts w:ascii="Aptos" w:hAnsi="Aptos"/>
                <w:b/>
                <w:color w:val="FFFFFF"/>
                <w:sz w:val="20"/>
              </w:rPr>
              <w:t>Estado</w:t>
            </w:r>
          </w:p>
        </w:tc>
        <w:tc>
          <w:tcPr>
            <w:tcW w:type="dxa" w:w="2484"/>
            <w:shd w:fill="1F4E79"/>
            <w:tcBorders>
              <w:left w:val="single" w:sz="8" w:color="1F4E79"/>
              <w:top w:val="single" w:sz="8" w:color="1F4E79"/>
              <w:right w:val="single" w:sz="8" w:color="1F4E79"/>
              <w:bottom w:val="single" w:sz="8" w:color="1F4E79"/>
            </w:tcBorders>
            <w:vAlign w:val="center"/>
          </w:tcPr>
          <w:p>
            <w:pPr>
              <w:jc w:val="center"/>
            </w:pPr>
            <w:r>
              <w:rPr>
                <w:rFonts w:ascii="Aptos" w:hAnsi="Aptos"/>
                <w:b/>
                <w:color w:val="FFFFFF"/>
                <w:sz w:val="20"/>
              </w:rPr>
              <w:t>Documento soporte</w:t>
            </w:r>
          </w:p>
        </w:tc>
      </w:tr>
      <w:tr>
        <w:tc>
          <w:tcPr>
            <w:tcW w:type="dxa" w:w="2484"/>
            <w:tcBorders>
              <w:left w:val="single" w:sz="6" w:color="D0D8E2"/>
              <w:top w:val="single" w:sz="6" w:color="D0D8E2"/>
              <w:right w:val="single" w:sz="6" w:color="D0D8E2"/>
              <w:bottom w:val="single" w:sz="6" w:color="D0D8E2"/>
            </w:tcBorders>
            <w:vAlign w:val="center"/>
          </w:tcPr>
          <w:p>
            <w:pPr>
              <w:spacing w:before="0" w:after="0" w:line="264" w:lineRule="auto"/>
              <w:jc w:val="center"/>
            </w:pPr>
            <w:r>
              <w:rPr>
                <w:rFonts w:ascii="Aptos" w:hAnsi="Aptos"/>
                <w:b/>
                <w:color w:val="17324D"/>
                <w:sz w:val="19"/>
              </w:rPr>
              <w:t>4.1</w:t>
            </w:r>
          </w:p>
        </w:tc>
        <w:tc>
          <w:tcPr>
            <w:tcW w:type="dxa" w:w="2484"/>
            <w:tcBorders>
              <w:left w:val="single" w:sz="6" w:color="D0D8E2"/>
              <w:top w:val="single" w:sz="6" w:color="D0D8E2"/>
              <w:right w:val="single" w:sz="6" w:color="D0D8E2"/>
              <w:bottom w:val="single" w:sz="6" w:color="D0D8E2"/>
            </w:tcBorders>
            <w:vAlign w:val="center"/>
          </w:tcPr>
          <w:p>
            <w:pPr>
              <w:spacing w:before="0" w:after="0" w:line="264" w:lineRule="auto"/>
              <w:jc w:val="left"/>
            </w:pPr>
            <w:r>
              <w:rPr>
                <w:rFonts w:ascii="Aptos" w:hAnsi="Aptos"/>
                <w:b w:val="0"/>
                <w:color w:val="2A2A2A"/>
                <w:sz w:val="19"/>
              </w:rPr>
              <w:t>Comprender la organización y su contexto</w:t>
            </w:r>
          </w:p>
        </w:tc>
        <w:tc>
          <w:tcPr>
            <w:tcW w:type="dxa" w:w="2484"/>
            <w:tcBorders>
              <w:left w:val="single" w:sz="6" w:color="D0D8E2"/>
              <w:top w:val="single" w:sz="6" w:color="D0D8E2"/>
              <w:right w:val="single" w:sz="6" w:color="D0D8E2"/>
              <w:bottom w:val="single" w:sz="6" w:color="D0D8E2"/>
            </w:tcBorders>
            <w:vAlign w:val="center"/>
            <w:shd w:fill="E9F7EF"/>
          </w:tcPr>
          <w:p>
            <w:pPr>
              <w:spacing w:before="0" w:after="0" w:line="264" w:lineRule="auto"/>
              <w:jc w:val="center"/>
            </w:pPr>
            <w:r>
              <w:rPr>
                <w:rFonts w:ascii="Aptos" w:hAnsi="Aptos"/>
                <w:b/>
                <w:color w:val="1D7A46"/>
                <w:sz w:val="19"/>
              </w:rPr>
              <w:t>Cumple</w:t>
            </w:r>
          </w:p>
        </w:tc>
        <w:tc>
          <w:tcPr>
            <w:tcW w:type="dxa" w:w="2484"/>
            <w:tcBorders>
              <w:left w:val="single" w:sz="6" w:color="D0D8E2"/>
              <w:top w:val="single" w:sz="6" w:color="D0D8E2"/>
              <w:right w:val="single" w:sz="6" w:color="D0D8E2"/>
              <w:bottom w:val="single" w:sz="6" w:color="D0D8E2"/>
            </w:tcBorders>
            <w:vAlign w:val="center"/>
          </w:tcPr>
          <w:p>
            <w:pPr>
              <w:spacing w:before="0" w:after="0" w:line="264" w:lineRule="auto"/>
              <w:jc w:val="left"/>
            </w:pPr>
            <w:r>
              <w:rPr>
                <w:rFonts w:ascii="Aptos" w:hAnsi="Aptos"/>
                <w:b w:val="0"/>
                <w:color w:val="2A2A2A"/>
                <w:sz w:val="19"/>
              </w:rPr>
              <w:t>Documento final de la Política de SGSI</w:t>
            </w:r>
          </w:p>
        </w:tc>
      </w:tr>
      <w:tr>
        <w:tc>
          <w:tcPr>
            <w:tcW w:type="dxa" w:w="2484"/>
            <w:tcBorders>
              <w:left w:val="single" w:sz="6" w:color="D0D8E2"/>
              <w:top w:val="single" w:sz="6" w:color="D0D8E2"/>
              <w:right w:val="single" w:sz="6" w:color="D0D8E2"/>
              <w:bottom w:val="single" w:sz="6" w:color="D0D8E2"/>
            </w:tcBorders>
            <w:vAlign w:val="center"/>
          </w:tcPr>
          <w:p>
            <w:pPr>
              <w:spacing w:before="0" w:after="0" w:line="264" w:lineRule="auto"/>
              <w:jc w:val="center"/>
            </w:pPr>
            <w:r>
              <w:rPr>
                <w:rFonts w:ascii="Aptos" w:hAnsi="Aptos"/>
                <w:b/>
                <w:color w:val="17324D"/>
                <w:sz w:val="19"/>
              </w:rPr>
              <w:t>4.2</w:t>
            </w:r>
          </w:p>
        </w:tc>
        <w:tc>
          <w:tcPr>
            <w:tcW w:type="dxa" w:w="2484"/>
            <w:tcBorders>
              <w:left w:val="single" w:sz="6" w:color="D0D8E2"/>
              <w:top w:val="single" w:sz="6" w:color="D0D8E2"/>
              <w:right w:val="single" w:sz="6" w:color="D0D8E2"/>
              <w:bottom w:val="single" w:sz="6" w:color="D0D8E2"/>
            </w:tcBorders>
            <w:vAlign w:val="center"/>
          </w:tcPr>
          <w:p>
            <w:pPr>
              <w:spacing w:before="0" w:after="0" w:line="264" w:lineRule="auto"/>
              <w:jc w:val="left"/>
            </w:pPr>
            <w:r>
              <w:rPr>
                <w:rFonts w:ascii="Aptos" w:hAnsi="Aptos"/>
                <w:b w:val="0"/>
                <w:color w:val="2A2A2A"/>
                <w:sz w:val="19"/>
              </w:rPr>
              <w:t>Entendimiento de las necesidades y expectativas de las partes interesadas</w:t>
            </w:r>
          </w:p>
        </w:tc>
        <w:tc>
          <w:tcPr>
            <w:tcW w:type="dxa" w:w="2484"/>
            <w:tcBorders>
              <w:left w:val="single" w:sz="6" w:color="D0D8E2"/>
              <w:top w:val="single" w:sz="6" w:color="D0D8E2"/>
              <w:right w:val="single" w:sz="6" w:color="D0D8E2"/>
              <w:bottom w:val="single" w:sz="6" w:color="D0D8E2"/>
            </w:tcBorders>
            <w:vAlign w:val="center"/>
            <w:shd w:fill="E9F7EF"/>
          </w:tcPr>
          <w:p>
            <w:pPr>
              <w:spacing w:before="0" w:after="0" w:line="264" w:lineRule="auto"/>
              <w:jc w:val="center"/>
            </w:pPr>
            <w:r>
              <w:rPr>
                <w:rFonts w:ascii="Aptos" w:hAnsi="Aptos"/>
                <w:b/>
                <w:color w:val="1D7A46"/>
                <w:sz w:val="19"/>
              </w:rPr>
              <w:t>Cumple</w:t>
            </w:r>
          </w:p>
        </w:tc>
        <w:tc>
          <w:tcPr>
            <w:tcW w:type="dxa" w:w="2484"/>
            <w:tcBorders>
              <w:left w:val="single" w:sz="6" w:color="D0D8E2"/>
              <w:top w:val="single" w:sz="6" w:color="D0D8E2"/>
              <w:right w:val="single" w:sz="6" w:color="D0D8E2"/>
              <w:bottom w:val="single" w:sz="6" w:color="D0D8E2"/>
            </w:tcBorders>
            <w:vAlign w:val="center"/>
          </w:tcPr>
          <w:p>
            <w:pPr>
              <w:spacing w:before="0" w:after="0" w:line="264" w:lineRule="auto"/>
              <w:jc w:val="left"/>
            </w:pPr>
            <w:r>
              <w:rPr>
                <w:rFonts w:ascii="Aptos" w:hAnsi="Aptos"/>
                <w:b w:val="0"/>
                <w:color w:val="2A2A2A"/>
                <w:sz w:val="19"/>
              </w:rPr>
              <w:t>Documento final de la Política de SGSI</w:t>
            </w:r>
          </w:p>
        </w:tc>
      </w:tr>
      <w:tr>
        <w:tc>
          <w:tcPr>
            <w:tcW w:type="dxa" w:w="2484"/>
            <w:tcBorders>
              <w:left w:val="single" w:sz="6" w:color="D0D8E2"/>
              <w:top w:val="single" w:sz="6" w:color="D0D8E2"/>
              <w:right w:val="single" w:sz="6" w:color="D0D8E2"/>
              <w:bottom w:val="single" w:sz="6" w:color="D0D8E2"/>
            </w:tcBorders>
            <w:vAlign w:val="center"/>
          </w:tcPr>
          <w:p>
            <w:pPr>
              <w:spacing w:before="0" w:after="0" w:line="264" w:lineRule="auto"/>
              <w:jc w:val="center"/>
            </w:pPr>
            <w:r>
              <w:rPr>
                <w:rFonts w:ascii="Aptos" w:hAnsi="Aptos"/>
                <w:b/>
                <w:color w:val="17324D"/>
                <w:sz w:val="19"/>
              </w:rPr>
              <w:t>4.3</w:t>
            </w:r>
          </w:p>
        </w:tc>
        <w:tc>
          <w:tcPr>
            <w:tcW w:type="dxa" w:w="2484"/>
            <w:tcBorders>
              <w:left w:val="single" w:sz="6" w:color="D0D8E2"/>
              <w:top w:val="single" w:sz="6" w:color="D0D8E2"/>
              <w:right w:val="single" w:sz="6" w:color="D0D8E2"/>
              <w:bottom w:val="single" w:sz="6" w:color="D0D8E2"/>
            </w:tcBorders>
            <w:vAlign w:val="center"/>
          </w:tcPr>
          <w:p>
            <w:pPr>
              <w:spacing w:before="0" w:after="0" w:line="264" w:lineRule="auto"/>
              <w:jc w:val="left"/>
            </w:pPr>
            <w:r>
              <w:rPr>
                <w:rFonts w:ascii="Aptos" w:hAnsi="Aptos"/>
                <w:b w:val="0"/>
                <w:color w:val="2A2A2A"/>
                <w:sz w:val="19"/>
              </w:rPr>
              <w:t>Determinación del alcance del Sistema de Gestión de Seguridad de la Información</w:t>
            </w:r>
          </w:p>
        </w:tc>
        <w:tc>
          <w:tcPr>
            <w:tcW w:type="dxa" w:w="2484"/>
            <w:tcBorders>
              <w:left w:val="single" w:sz="6" w:color="D0D8E2"/>
              <w:top w:val="single" w:sz="6" w:color="D0D8E2"/>
              <w:right w:val="single" w:sz="6" w:color="D0D8E2"/>
              <w:bottom w:val="single" w:sz="6" w:color="D0D8E2"/>
            </w:tcBorders>
            <w:vAlign w:val="center"/>
            <w:shd w:fill="E9F7EF"/>
          </w:tcPr>
          <w:p>
            <w:pPr>
              <w:spacing w:before="0" w:after="0" w:line="264" w:lineRule="auto"/>
              <w:jc w:val="center"/>
            </w:pPr>
            <w:r>
              <w:rPr>
                <w:rFonts w:ascii="Aptos" w:hAnsi="Aptos"/>
                <w:b/>
                <w:color w:val="1D7A46"/>
                <w:sz w:val="19"/>
              </w:rPr>
              <w:t>Cumple</w:t>
            </w:r>
          </w:p>
        </w:tc>
        <w:tc>
          <w:tcPr>
            <w:tcW w:type="dxa" w:w="2484"/>
            <w:tcBorders>
              <w:left w:val="single" w:sz="6" w:color="D0D8E2"/>
              <w:top w:val="single" w:sz="6" w:color="D0D8E2"/>
              <w:right w:val="single" w:sz="6" w:color="D0D8E2"/>
              <w:bottom w:val="single" w:sz="6" w:color="D0D8E2"/>
            </w:tcBorders>
            <w:vAlign w:val="center"/>
          </w:tcPr>
          <w:p>
            <w:pPr>
              <w:spacing w:before="0" w:after="0" w:line="264" w:lineRule="auto"/>
              <w:jc w:val="left"/>
            </w:pPr>
            <w:r>
              <w:rPr>
                <w:rFonts w:ascii="Aptos" w:hAnsi="Aptos"/>
                <w:b w:val="0"/>
                <w:color w:val="2A2A2A"/>
                <w:sz w:val="19"/>
              </w:rPr>
              <w:t>Documento final de la Política de SGSI; Enunciado final del alcance del SGSI</w:t>
            </w:r>
          </w:p>
        </w:tc>
      </w:tr>
      <w:tr>
        <w:tc>
          <w:tcPr>
            <w:tcW w:type="dxa" w:w="2484"/>
            <w:tcBorders>
              <w:left w:val="single" w:sz="6" w:color="D0D8E2"/>
              <w:top w:val="single" w:sz="6" w:color="D0D8E2"/>
              <w:right w:val="single" w:sz="6" w:color="D0D8E2"/>
              <w:bottom w:val="single" w:sz="6" w:color="D0D8E2"/>
            </w:tcBorders>
            <w:vAlign w:val="center"/>
          </w:tcPr>
          <w:p>
            <w:pPr>
              <w:spacing w:before="0" w:after="0" w:line="264" w:lineRule="auto"/>
              <w:jc w:val="center"/>
            </w:pPr>
            <w:r>
              <w:rPr>
                <w:rFonts w:ascii="Aptos" w:hAnsi="Aptos"/>
                <w:b/>
                <w:color w:val="17324D"/>
                <w:sz w:val="19"/>
              </w:rPr>
              <w:t>4.4</w:t>
            </w:r>
          </w:p>
        </w:tc>
        <w:tc>
          <w:tcPr>
            <w:tcW w:type="dxa" w:w="2484"/>
            <w:tcBorders>
              <w:left w:val="single" w:sz="6" w:color="D0D8E2"/>
              <w:top w:val="single" w:sz="6" w:color="D0D8E2"/>
              <w:right w:val="single" w:sz="6" w:color="D0D8E2"/>
              <w:bottom w:val="single" w:sz="6" w:color="D0D8E2"/>
            </w:tcBorders>
            <w:vAlign w:val="center"/>
          </w:tcPr>
          <w:p>
            <w:pPr>
              <w:spacing w:before="0" w:after="0" w:line="264" w:lineRule="auto"/>
              <w:jc w:val="left"/>
            </w:pPr>
            <w:r>
              <w:rPr>
                <w:rFonts w:ascii="Aptos" w:hAnsi="Aptos"/>
                <w:b w:val="0"/>
                <w:color w:val="2A2A2A"/>
                <w:sz w:val="19"/>
              </w:rPr>
              <w:t>Sistema de Gestión de Seguridad de la Información</w:t>
            </w:r>
          </w:p>
        </w:tc>
        <w:tc>
          <w:tcPr>
            <w:tcW w:type="dxa" w:w="2484"/>
            <w:tcBorders>
              <w:left w:val="single" w:sz="6" w:color="D0D8E2"/>
              <w:top w:val="single" w:sz="6" w:color="D0D8E2"/>
              <w:right w:val="single" w:sz="6" w:color="D0D8E2"/>
              <w:bottom w:val="single" w:sz="6" w:color="D0D8E2"/>
            </w:tcBorders>
            <w:vAlign w:val="center"/>
            <w:shd w:fill="E9F7EF"/>
          </w:tcPr>
          <w:p>
            <w:pPr>
              <w:spacing w:before="0" w:after="0" w:line="264" w:lineRule="auto"/>
              <w:jc w:val="center"/>
            </w:pPr>
            <w:r>
              <w:rPr>
                <w:rFonts w:ascii="Aptos" w:hAnsi="Aptos"/>
                <w:b/>
                <w:color w:val="1D7A46"/>
                <w:sz w:val="19"/>
              </w:rPr>
              <w:t>Cumple</w:t>
            </w:r>
          </w:p>
        </w:tc>
        <w:tc>
          <w:tcPr>
            <w:tcW w:type="dxa" w:w="2484"/>
            <w:tcBorders>
              <w:left w:val="single" w:sz="6" w:color="D0D8E2"/>
              <w:top w:val="single" w:sz="6" w:color="D0D8E2"/>
              <w:right w:val="single" w:sz="6" w:color="D0D8E2"/>
              <w:bottom w:val="single" w:sz="6" w:color="D0D8E2"/>
            </w:tcBorders>
            <w:vAlign w:val="center"/>
          </w:tcPr>
          <w:p>
            <w:pPr>
              <w:spacing w:before="0" w:after="0" w:line="264" w:lineRule="auto"/>
              <w:jc w:val="left"/>
            </w:pPr>
            <w:r>
              <w:rPr>
                <w:rFonts w:ascii="Aptos" w:hAnsi="Aptos"/>
                <w:b w:val="0"/>
                <w:color w:val="2A2A2A"/>
                <w:sz w:val="19"/>
              </w:rPr>
              <w:t>Documento final de la Política de SGSI</w:t>
            </w:r>
          </w:p>
        </w:tc>
      </w:tr>
    </w:tbl>
    <w:p>
      <w:r>
        <w:br w:type="page"/>
      </w:r>
    </w:p>
    <w:p>
      <w:pPr>
        <w:spacing w:before="0" w:after="20" w:line="240" w:lineRule="auto"/>
      </w:pPr>
      <w:r>
        <w:rPr>
          <w:rFonts w:ascii="Aptos" w:hAnsi="Aptos"/>
          <w:b/>
          <w:color w:val="17324D"/>
          <w:sz w:val="32"/>
        </w:rPr>
        <w:t>4.1  Comprender la organización y su contexto</w:t>
      </w:r>
    </w:p>
    <w:tbl>
      <w:tblPr>
        <w:tblW w:type="auto" w:w="0"/>
        <w:jc w:val="left"/>
        <w:tblLayout w:type="fixed"/>
        <w:tblLook w:firstColumn="1" w:firstRow="1" w:lastColumn="0" w:lastRow="0" w:noHBand="0" w:noVBand="1" w:val="04A0"/>
      </w:tblPr>
      <w:tblGrid>
        <w:gridCol w:w="1800"/>
        <w:gridCol w:w="1800"/>
        <w:gridCol w:w="6048"/>
      </w:tblGrid>
      <w:tr>
        <w:tc>
          <w:tcPr>
            <w:tcW w:type="dxa" w:w="3312"/>
            <w:shd w:fill="D9E6F2"/>
            <w:tcBorders>
              <w:left w:val="single" w:sz="6" w:color="D0D8E2"/>
              <w:top w:val="single" w:sz="6" w:color="D0D8E2"/>
              <w:right w:val="single" w:sz="6" w:color="D0D8E2"/>
              <w:bottom w:val="single" w:sz="6" w:color="D0D8E2"/>
            </w:tcBorders>
            <w:vAlign w:val="center"/>
          </w:tcPr>
          <w:p>
            <w:pPr>
              <w:spacing w:before="0" w:after="0" w:line="276" w:lineRule="auto"/>
              <w:jc w:val="center"/>
            </w:pPr>
            <w:r>
              <w:rPr>
                <w:rFonts w:ascii="Aptos" w:hAnsi="Aptos"/>
                <w:b w:val="0"/>
                <w:color w:val="667085"/>
                <w:sz w:val="17"/>
              </w:rPr>
              <w:t>Numeral</w:t>
              <w:br/>
            </w:r>
            <w:r>
              <w:rPr>
                <w:rFonts w:ascii="Aptos" w:hAnsi="Aptos"/>
                <w:b/>
                <w:color w:val="17324D"/>
                <w:sz w:val="20"/>
              </w:rPr>
              <w:t>4.1</w:t>
            </w:r>
          </w:p>
        </w:tc>
        <w:tc>
          <w:tcPr>
            <w:tcW w:type="dxa" w:w="3312"/>
            <w:shd w:fill="E9F7EF"/>
            <w:tcBorders>
              <w:left w:val="single" w:sz="6" w:color="D0D8E2"/>
              <w:top w:val="single" w:sz="6" w:color="D0D8E2"/>
              <w:right w:val="single" w:sz="6" w:color="D0D8E2"/>
              <w:bottom w:val="single" w:sz="6" w:color="D0D8E2"/>
            </w:tcBorders>
            <w:vAlign w:val="center"/>
          </w:tcPr>
          <w:p>
            <w:pPr>
              <w:spacing w:before="0" w:after="0" w:line="276" w:lineRule="auto"/>
              <w:jc w:val="center"/>
            </w:pPr>
            <w:r>
              <w:rPr>
                <w:rFonts w:ascii="Aptos" w:hAnsi="Aptos"/>
                <w:b w:val="0"/>
                <w:color w:val="667085"/>
                <w:sz w:val="17"/>
              </w:rPr>
              <w:t>Estado</w:t>
              <w:br/>
            </w:r>
            <w:r>
              <w:rPr>
                <w:rFonts w:ascii="Aptos" w:hAnsi="Aptos"/>
                <w:b/>
                <w:color w:val="1D7A46"/>
                <w:sz w:val="20"/>
              </w:rPr>
              <w:t>Cumple</w:t>
            </w:r>
          </w:p>
        </w:tc>
        <w:tc>
          <w:tcPr>
            <w:tcW w:type="dxa" w:w="3312"/>
            <w:shd w:fill="F7FAFC"/>
            <w:tcBorders>
              <w:left w:val="single" w:sz="6" w:color="D0D8E2"/>
              <w:top w:val="single" w:sz="6" w:color="D0D8E2"/>
              <w:right w:val="single" w:sz="6" w:color="D0D8E2"/>
              <w:bottom w:val="single" w:sz="6" w:color="D0D8E2"/>
            </w:tcBorders>
            <w:vAlign w:val="center"/>
          </w:tcPr>
          <w:p>
            <w:pPr>
              <w:spacing w:before="0" w:after="0" w:line="276" w:lineRule="auto"/>
              <w:jc w:val="left"/>
            </w:pPr>
            <w:r>
              <w:rPr>
                <w:rFonts w:ascii="Aptos" w:hAnsi="Aptos"/>
                <w:b w:val="0"/>
                <w:color w:val="667085"/>
                <w:sz w:val="17"/>
              </w:rPr>
              <w:t>Título normalizado</w:t>
              <w:br/>
            </w:r>
            <w:r>
              <w:rPr>
                <w:rFonts w:ascii="Aptos" w:hAnsi="Aptos"/>
                <w:b/>
                <w:color w:val="2A2A2A"/>
                <w:sz w:val="20"/>
              </w:rPr>
              <w:t>Comprender la organización y su contexto</w:t>
            </w:r>
          </w:p>
        </w:tc>
      </w:tr>
    </w:tbl>
    <w:p/>
    <w:tbl>
      <w:tblPr>
        <w:tblW w:type="auto" w:w="0"/>
        <w:jc w:val="left"/>
        <w:tblLayout w:type="fixed"/>
        <w:tblLook w:firstColumn="1" w:firstRow="1" w:lastColumn="0" w:lastRow="0" w:noHBand="0" w:noVBand="1" w:val="04A0"/>
      </w:tblPr>
      <w:tblGrid>
        <w:gridCol w:w="9792"/>
      </w:tblGrid>
      <w:tr>
        <w:tc>
          <w:tcPr>
            <w:tcW w:type="dxa" w:w="9936"/>
            <w:shd w:fill="FFFFFF"/>
            <w:tcBorders>
              <w:left w:val="single" w:sz="10" w:color="1F4E79"/>
              <w:top w:val="single" w:sz="6" w:color="D0D8E2"/>
              <w:right w:val="single" w:sz="6" w:color="D0D8E2"/>
              <w:bottom w:val="single" w:sz="6" w:color="D0D8E2"/>
            </w:tcBorders>
          </w:tcPr>
          <w:p>
            <w:pPr>
              <w:spacing w:before="0" w:after="0" w:line="288" w:lineRule="auto"/>
            </w:pPr>
            <w:r>
              <w:rPr>
                <w:rFonts w:ascii="Aptos" w:hAnsi="Aptos"/>
                <w:b/>
                <w:color w:val="17324D"/>
                <w:sz w:val="21"/>
              </w:rPr>
              <w:t>Descripción del control</w:t>
              <w:br/>
            </w:r>
            <w:r>
              <w:rPr>
                <w:rFonts w:ascii="Aptos" w:hAnsi="Aptos"/>
                <w:b w:val="0"/>
                <w:color w:val="2A2A2A"/>
                <w:sz w:val="20"/>
              </w:rPr>
              <w:t>La organización debe determinar los aspectos externos e internos que son relevantes para su propósito y que afectan a su capacidad para lograr el resultado deseado(s) de su sistema de gestión de seguridad de la información.</w:t>
            </w:r>
          </w:p>
        </w:tc>
      </w:tr>
    </w:tbl>
    <w:p/>
    <w:tbl>
      <w:tblPr>
        <w:tblW w:type="auto" w:w="0"/>
        <w:jc w:val="left"/>
        <w:tblLayout w:type="fixed"/>
        <w:tblLook w:firstColumn="1" w:firstRow="1" w:lastColumn="0" w:lastRow="0" w:noHBand="0" w:noVBand="1" w:val="04A0"/>
      </w:tblPr>
      <w:tblGrid>
        <w:gridCol w:w="9792"/>
      </w:tblGrid>
      <w:tr>
        <w:tc>
          <w:tcPr>
            <w:tcW w:type="dxa" w:w="9936"/>
            <w:shd w:fill="F7FAFC"/>
            <w:tcBorders>
              <w:left w:val="single" w:sz="8" w:color="D9E6F2"/>
              <w:top w:val="single" w:sz="6" w:color="D9E6F2"/>
              <w:right w:val="single" w:sz="6" w:color="D9E6F2"/>
              <w:bottom w:val="single" w:sz="6" w:color="D9E6F2"/>
            </w:tcBorders>
          </w:tcPr>
          <w:p>
            <w:pPr>
              <w:spacing w:before="0" w:after="0" w:line="283" w:lineRule="auto"/>
            </w:pPr>
            <w:r>
              <w:rPr>
                <w:rFonts w:ascii="Aptos" w:hAnsi="Aptos"/>
                <w:b/>
                <w:color w:val="17324D"/>
                <w:sz w:val="20"/>
              </w:rPr>
              <w:t>Nota asociada</w:t>
              <w:br/>
            </w:r>
            <w:r>
              <w:rPr>
                <w:rFonts w:ascii="Aptos" w:hAnsi="Aptos"/>
                <w:b w:val="0"/>
                <w:color w:val="2A2A2A"/>
                <w:sz w:val="20"/>
              </w:rPr>
              <w:t>La determinación de estos aspectos se refiere a establecer el contexto externo e interno de la organización considerada en el inciso 5.3 de la NMX-SAST-31000-IMNC-2018.</w:t>
            </w:r>
          </w:p>
        </w:tc>
      </w:tr>
    </w:tbl>
    <w:p/>
    <w:p>
      <w:pPr>
        <w:spacing w:before="160" w:after="40" w:line="240" w:lineRule="auto"/>
      </w:pPr>
      <w:r>
        <w:rPr>
          <w:rFonts w:ascii="Aptos" w:hAnsi="Aptos"/>
          <w:b/>
          <w:color w:val="17324D"/>
          <w:sz w:val="23"/>
        </w:rPr>
        <w:t>Documentos de soporte identificados</w:t>
      </w:r>
    </w:p>
    <w:p>
      <w:pPr>
        <w:spacing w:before="0" w:after="20" w:line="252" w:lineRule="auto"/>
        <w:ind w:left="288"/>
      </w:pPr>
      <w:r>
        <w:rPr>
          <w:rFonts w:ascii="Aptos" w:hAnsi="Aptos"/>
          <w:b w:val="0"/>
          <w:color w:val="2A2A2A"/>
          <w:sz w:val="20"/>
        </w:rPr>
        <w:t>•  Documento final de la Política de SGSI</w:t>
      </w:r>
    </w:p>
    <w:p>
      <w:pPr>
        <w:spacing w:before="0" w:after="20" w:line="240" w:lineRule="auto"/>
      </w:pPr>
      <w:r>
        <w:rPr>
          <w:rFonts w:ascii="Aptos" w:hAnsi="Aptos"/>
          <w:b/>
          <w:color w:val="17324D"/>
          <w:sz w:val="32"/>
        </w:rPr>
        <w:t>4.2  Entendimiento de las necesidades y expectativas de las partes interesadas</w:t>
      </w:r>
    </w:p>
    <w:tbl>
      <w:tblPr>
        <w:tblW w:type="auto" w:w="0"/>
        <w:jc w:val="left"/>
        <w:tblLayout w:type="fixed"/>
        <w:tblLook w:firstColumn="1" w:firstRow="1" w:lastColumn="0" w:lastRow="0" w:noHBand="0" w:noVBand="1" w:val="04A0"/>
      </w:tblPr>
      <w:tblGrid>
        <w:gridCol w:w="1800"/>
        <w:gridCol w:w="1800"/>
        <w:gridCol w:w="6048"/>
      </w:tblGrid>
      <w:tr>
        <w:tc>
          <w:tcPr>
            <w:tcW w:type="dxa" w:w="3312"/>
            <w:shd w:fill="D9E6F2"/>
            <w:tcBorders>
              <w:left w:val="single" w:sz="6" w:color="D0D8E2"/>
              <w:top w:val="single" w:sz="6" w:color="D0D8E2"/>
              <w:right w:val="single" w:sz="6" w:color="D0D8E2"/>
              <w:bottom w:val="single" w:sz="6" w:color="D0D8E2"/>
            </w:tcBorders>
            <w:vAlign w:val="center"/>
          </w:tcPr>
          <w:p>
            <w:pPr>
              <w:spacing w:before="0" w:after="0" w:line="276" w:lineRule="auto"/>
              <w:jc w:val="center"/>
            </w:pPr>
            <w:r>
              <w:rPr>
                <w:rFonts w:ascii="Aptos" w:hAnsi="Aptos"/>
                <w:b w:val="0"/>
                <w:color w:val="667085"/>
                <w:sz w:val="17"/>
              </w:rPr>
              <w:t>Numeral</w:t>
              <w:br/>
            </w:r>
            <w:r>
              <w:rPr>
                <w:rFonts w:ascii="Aptos" w:hAnsi="Aptos"/>
                <w:b/>
                <w:color w:val="17324D"/>
                <w:sz w:val="20"/>
              </w:rPr>
              <w:t>4.2</w:t>
            </w:r>
          </w:p>
        </w:tc>
        <w:tc>
          <w:tcPr>
            <w:tcW w:type="dxa" w:w="3312"/>
            <w:shd w:fill="E9F7EF"/>
            <w:tcBorders>
              <w:left w:val="single" w:sz="6" w:color="D0D8E2"/>
              <w:top w:val="single" w:sz="6" w:color="D0D8E2"/>
              <w:right w:val="single" w:sz="6" w:color="D0D8E2"/>
              <w:bottom w:val="single" w:sz="6" w:color="D0D8E2"/>
            </w:tcBorders>
            <w:vAlign w:val="center"/>
          </w:tcPr>
          <w:p>
            <w:pPr>
              <w:spacing w:before="0" w:after="0" w:line="276" w:lineRule="auto"/>
              <w:jc w:val="center"/>
            </w:pPr>
            <w:r>
              <w:rPr>
                <w:rFonts w:ascii="Aptos" w:hAnsi="Aptos"/>
                <w:b w:val="0"/>
                <w:color w:val="667085"/>
                <w:sz w:val="17"/>
              </w:rPr>
              <w:t>Estado</w:t>
              <w:br/>
            </w:r>
            <w:r>
              <w:rPr>
                <w:rFonts w:ascii="Aptos" w:hAnsi="Aptos"/>
                <w:b/>
                <w:color w:val="1D7A46"/>
                <w:sz w:val="20"/>
              </w:rPr>
              <w:t>Cumple</w:t>
            </w:r>
          </w:p>
        </w:tc>
        <w:tc>
          <w:tcPr>
            <w:tcW w:type="dxa" w:w="3312"/>
            <w:shd w:fill="F7FAFC"/>
            <w:tcBorders>
              <w:left w:val="single" w:sz="6" w:color="D0D8E2"/>
              <w:top w:val="single" w:sz="6" w:color="D0D8E2"/>
              <w:right w:val="single" w:sz="6" w:color="D0D8E2"/>
              <w:bottom w:val="single" w:sz="6" w:color="D0D8E2"/>
            </w:tcBorders>
            <w:vAlign w:val="center"/>
          </w:tcPr>
          <w:p>
            <w:pPr>
              <w:spacing w:before="0" w:after="0" w:line="276" w:lineRule="auto"/>
              <w:jc w:val="left"/>
            </w:pPr>
            <w:r>
              <w:rPr>
                <w:rFonts w:ascii="Aptos" w:hAnsi="Aptos"/>
                <w:b w:val="0"/>
                <w:color w:val="667085"/>
                <w:sz w:val="17"/>
              </w:rPr>
              <w:t>Título normalizado</w:t>
              <w:br/>
            </w:r>
            <w:r>
              <w:rPr>
                <w:rFonts w:ascii="Aptos" w:hAnsi="Aptos"/>
                <w:b/>
                <w:color w:val="2A2A2A"/>
                <w:sz w:val="20"/>
              </w:rPr>
              <w:t>Entendimiento de las necesidades y expectativas de las partes interesadas</w:t>
            </w:r>
          </w:p>
        </w:tc>
      </w:tr>
    </w:tbl>
    <w:p/>
    <w:tbl>
      <w:tblPr>
        <w:tblW w:type="auto" w:w="0"/>
        <w:jc w:val="left"/>
        <w:tblLayout w:type="fixed"/>
        <w:tblLook w:firstColumn="1" w:firstRow="1" w:lastColumn="0" w:lastRow="0" w:noHBand="0" w:noVBand="1" w:val="04A0"/>
      </w:tblPr>
      <w:tblGrid>
        <w:gridCol w:w="9792"/>
      </w:tblGrid>
      <w:tr>
        <w:tc>
          <w:tcPr>
            <w:tcW w:type="dxa" w:w="9936"/>
            <w:shd w:fill="FFFFFF"/>
            <w:tcBorders>
              <w:left w:val="single" w:sz="10" w:color="1F4E79"/>
              <w:top w:val="single" w:sz="6" w:color="D0D8E2"/>
              <w:right w:val="single" w:sz="6" w:color="D0D8E2"/>
              <w:bottom w:val="single" w:sz="6" w:color="D0D8E2"/>
            </w:tcBorders>
          </w:tcPr>
          <w:p>
            <w:pPr>
              <w:spacing w:before="0" w:after="0" w:line="288" w:lineRule="auto"/>
            </w:pPr>
            <w:r>
              <w:rPr>
                <w:rFonts w:ascii="Aptos" w:hAnsi="Aptos"/>
                <w:b/>
                <w:color w:val="17324D"/>
                <w:sz w:val="21"/>
              </w:rPr>
              <w:t>Descripción del control</w:t>
              <w:br/>
            </w:r>
            <w:r>
              <w:rPr>
                <w:rFonts w:ascii="Aptos" w:hAnsi="Aptos"/>
                <w:b w:val="0"/>
                <w:color w:val="2A2A2A"/>
                <w:sz w:val="20"/>
              </w:rPr>
              <w:t>La organización debe determinar: a) las partes interesadas que son relevantes al Sistema de Gestión de Seguridad de la Información y; b) los requisitos relevantes de estas partes interesadas;</w:t>
            </w:r>
          </w:p>
        </w:tc>
      </w:tr>
    </w:tbl>
    <w:p/>
    <w:tbl>
      <w:tblPr>
        <w:tblW w:type="auto" w:w="0"/>
        <w:jc w:val="left"/>
        <w:tblLayout w:type="fixed"/>
        <w:tblLook w:firstColumn="1" w:firstRow="1" w:lastColumn="0" w:lastRow="0" w:noHBand="0" w:noVBand="1" w:val="04A0"/>
      </w:tblPr>
      <w:tblGrid>
        <w:gridCol w:w="9792"/>
      </w:tblGrid>
      <w:tr>
        <w:tc>
          <w:tcPr>
            <w:tcW w:type="dxa" w:w="9936"/>
            <w:shd w:fill="F7FAFC"/>
            <w:tcBorders>
              <w:left w:val="single" w:sz="8" w:color="D9E6F2"/>
              <w:top w:val="single" w:sz="6" w:color="D9E6F2"/>
              <w:right w:val="single" w:sz="6" w:color="D9E6F2"/>
              <w:bottom w:val="single" w:sz="6" w:color="D9E6F2"/>
            </w:tcBorders>
          </w:tcPr>
          <w:p>
            <w:pPr>
              <w:spacing w:before="0" w:after="0" w:line="283" w:lineRule="auto"/>
            </w:pPr>
            <w:r>
              <w:rPr>
                <w:rFonts w:ascii="Aptos" w:hAnsi="Aptos"/>
                <w:b/>
                <w:color w:val="17324D"/>
                <w:sz w:val="20"/>
              </w:rPr>
              <w:t>Nota asociada</w:t>
              <w:br/>
            </w:r>
            <w:r>
              <w:rPr>
                <w:rFonts w:ascii="Aptos" w:hAnsi="Aptos"/>
                <w:b w:val="0"/>
                <w:color w:val="2A2A2A"/>
                <w:sz w:val="20"/>
              </w:rPr>
              <w:t>Los requisitos de las partes interesadas pueden incluir los requisitos legales y reglamentarios y las obligaciones contractuales. c) cuáles de estos requisitos se abordan a través del sistema de gestión de seguridad de información.</w:t>
            </w:r>
          </w:p>
        </w:tc>
      </w:tr>
    </w:tbl>
    <w:p/>
    <w:p>
      <w:pPr>
        <w:spacing w:before="160" w:after="40" w:line="240" w:lineRule="auto"/>
      </w:pPr>
      <w:r>
        <w:rPr>
          <w:rFonts w:ascii="Aptos" w:hAnsi="Aptos"/>
          <w:b/>
          <w:color w:val="17324D"/>
          <w:sz w:val="23"/>
        </w:rPr>
        <w:t>Documentos de soporte identificados</w:t>
      </w:r>
    </w:p>
    <w:p>
      <w:pPr>
        <w:spacing w:before="0" w:after="20" w:line="252" w:lineRule="auto"/>
        <w:ind w:left="288"/>
      </w:pPr>
      <w:r>
        <w:rPr>
          <w:rFonts w:ascii="Aptos" w:hAnsi="Aptos"/>
          <w:b w:val="0"/>
          <w:color w:val="2A2A2A"/>
          <w:sz w:val="20"/>
        </w:rPr>
        <w:t>•  Documento final de la Política de SGSI</w:t>
      </w:r>
    </w:p>
    <w:p>
      <w:pPr>
        <w:spacing w:before="0" w:after="20" w:line="240" w:lineRule="auto"/>
      </w:pPr>
      <w:r>
        <w:rPr>
          <w:rFonts w:ascii="Aptos" w:hAnsi="Aptos"/>
          <w:b/>
          <w:color w:val="17324D"/>
          <w:sz w:val="32"/>
        </w:rPr>
        <w:t>4.3  Determinación del alcance del Sistema de Gestión de Seguridad de la Información</w:t>
      </w:r>
    </w:p>
    <w:tbl>
      <w:tblPr>
        <w:tblW w:type="auto" w:w="0"/>
        <w:jc w:val="left"/>
        <w:tblLayout w:type="fixed"/>
        <w:tblLook w:firstColumn="1" w:firstRow="1" w:lastColumn="0" w:lastRow="0" w:noHBand="0" w:noVBand="1" w:val="04A0"/>
      </w:tblPr>
      <w:tblGrid>
        <w:gridCol w:w="1800"/>
        <w:gridCol w:w="1800"/>
        <w:gridCol w:w="6048"/>
      </w:tblGrid>
      <w:tr>
        <w:tc>
          <w:tcPr>
            <w:tcW w:type="dxa" w:w="3312"/>
            <w:shd w:fill="D9E6F2"/>
            <w:tcBorders>
              <w:left w:val="single" w:sz="6" w:color="D0D8E2"/>
              <w:top w:val="single" w:sz="6" w:color="D0D8E2"/>
              <w:right w:val="single" w:sz="6" w:color="D0D8E2"/>
              <w:bottom w:val="single" w:sz="6" w:color="D0D8E2"/>
            </w:tcBorders>
            <w:vAlign w:val="center"/>
          </w:tcPr>
          <w:p>
            <w:pPr>
              <w:spacing w:before="0" w:after="0" w:line="276" w:lineRule="auto"/>
              <w:jc w:val="center"/>
            </w:pPr>
            <w:r>
              <w:rPr>
                <w:rFonts w:ascii="Aptos" w:hAnsi="Aptos"/>
                <w:b w:val="0"/>
                <w:color w:val="667085"/>
                <w:sz w:val="17"/>
              </w:rPr>
              <w:t>Numeral</w:t>
              <w:br/>
            </w:r>
            <w:r>
              <w:rPr>
                <w:rFonts w:ascii="Aptos" w:hAnsi="Aptos"/>
                <w:b/>
                <w:color w:val="17324D"/>
                <w:sz w:val="20"/>
              </w:rPr>
              <w:t>4.3</w:t>
            </w:r>
          </w:p>
        </w:tc>
        <w:tc>
          <w:tcPr>
            <w:tcW w:type="dxa" w:w="3312"/>
            <w:shd w:fill="E9F7EF"/>
            <w:tcBorders>
              <w:left w:val="single" w:sz="6" w:color="D0D8E2"/>
              <w:top w:val="single" w:sz="6" w:color="D0D8E2"/>
              <w:right w:val="single" w:sz="6" w:color="D0D8E2"/>
              <w:bottom w:val="single" w:sz="6" w:color="D0D8E2"/>
            </w:tcBorders>
            <w:vAlign w:val="center"/>
          </w:tcPr>
          <w:p>
            <w:pPr>
              <w:spacing w:before="0" w:after="0" w:line="276" w:lineRule="auto"/>
              <w:jc w:val="center"/>
            </w:pPr>
            <w:r>
              <w:rPr>
                <w:rFonts w:ascii="Aptos" w:hAnsi="Aptos"/>
                <w:b w:val="0"/>
                <w:color w:val="667085"/>
                <w:sz w:val="17"/>
              </w:rPr>
              <w:t>Estado</w:t>
              <w:br/>
            </w:r>
            <w:r>
              <w:rPr>
                <w:rFonts w:ascii="Aptos" w:hAnsi="Aptos"/>
                <w:b/>
                <w:color w:val="1D7A46"/>
                <w:sz w:val="20"/>
              </w:rPr>
              <w:t>Cumple</w:t>
            </w:r>
          </w:p>
        </w:tc>
        <w:tc>
          <w:tcPr>
            <w:tcW w:type="dxa" w:w="3312"/>
            <w:shd w:fill="F7FAFC"/>
            <w:tcBorders>
              <w:left w:val="single" w:sz="6" w:color="D0D8E2"/>
              <w:top w:val="single" w:sz="6" w:color="D0D8E2"/>
              <w:right w:val="single" w:sz="6" w:color="D0D8E2"/>
              <w:bottom w:val="single" w:sz="6" w:color="D0D8E2"/>
            </w:tcBorders>
            <w:vAlign w:val="center"/>
          </w:tcPr>
          <w:p>
            <w:pPr>
              <w:spacing w:before="0" w:after="0" w:line="276" w:lineRule="auto"/>
              <w:jc w:val="left"/>
            </w:pPr>
            <w:r>
              <w:rPr>
                <w:rFonts w:ascii="Aptos" w:hAnsi="Aptos"/>
                <w:b w:val="0"/>
                <w:color w:val="667085"/>
                <w:sz w:val="17"/>
              </w:rPr>
              <w:t>Título normalizado</w:t>
              <w:br/>
            </w:r>
            <w:r>
              <w:rPr>
                <w:rFonts w:ascii="Aptos" w:hAnsi="Aptos"/>
                <w:b/>
                <w:color w:val="2A2A2A"/>
                <w:sz w:val="20"/>
              </w:rPr>
              <w:t>Determinación del alcance del Sistema de Gestión de Seguridad de la Información</w:t>
            </w:r>
          </w:p>
        </w:tc>
      </w:tr>
    </w:tbl>
    <w:p/>
    <w:tbl>
      <w:tblPr>
        <w:tblW w:type="auto" w:w="0"/>
        <w:jc w:val="left"/>
        <w:tblLayout w:type="fixed"/>
        <w:tblLook w:firstColumn="1" w:firstRow="1" w:lastColumn="0" w:lastRow="0" w:noHBand="0" w:noVBand="1" w:val="04A0"/>
      </w:tblPr>
      <w:tblGrid>
        <w:gridCol w:w="9792"/>
      </w:tblGrid>
      <w:tr>
        <w:tc>
          <w:tcPr>
            <w:tcW w:type="dxa" w:w="9936"/>
            <w:shd w:fill="FFFFFF"/>
            <w:tcBorders>
              <w:left w:val="single" w:sz="10" w:color="1F4E79"/>
              <w:top w:val="single" w:sz="6" w:color="D0D8E2"/>
              <w:right w:val="single" w:sz="6" w:color="D0D8E2"/>
              <w:bottom w:val="single" w:sz="6" w:color="D0D8E2"/>
            </w:tcBorders>
          </w:tcPr>
          <w:p>
            <w:pPr>
              <w:spacing w:before="0" w:after="0" w:line="288" w:lineRule="auto"/>
            </w:pPr>
            <w:r>
              <w:rPr>
                <w:rFonts w:ascii="Aptos" w:hAnsi="Aptos"/>
                <w:b/>
                <w:color w:val="17324D"/>
                <w:sz w:val="21"/>
              </w:rPr>
              <w:t>Descripción del control</w:t>
              <w:br/>
            </w:r>
            <w:r>
              <w:rPr>
                <w:rFonts w:ascii="Aptos" w:hAnsi="Aptos"/>
                <w:b w:val="0"/>
                <w:color w:val="2A2A2A"/>
                <w:sz w:val="20"/>
              </w:rPr>
              <w:t>La organización debe determinar los límites y la aplicabilidad del Sistema de Gestión de Seguridad de la Información para establecer su alcance. Al determinar el alcance, la organización debe considerar: a) los aspectos externos e internos referidos en el inciso 4.1; b) los requisitos referidos en el inciso 4.2 y; c) las interfaces y las dependencias entre las actividades realizadas por la organización, y las que se realizan por otras organizaciones. El alcance debe estar disponible como información documentada.</w:t>
            </w:r>
          </w:p>
        </w:tc>
      </w:tr>
    </w:tbl>
    <w:p/>
    <w:p>
      <w:pPr>
        <w:spacing w:before="160" w:after="40" w:line="240" w:lineRule="auto"/>
      </w:pPr>
      <w:r>
        <w:rPr>
          <w:rFonts w:ascii="Aptos" w:hAnsi="Aptos"/>
          <w:b/>
          <w:color w:val="17324D"/>
          <w:sz w:val="23"/>
        </w:rPr>
        <w:t>Documentos de soporte identificados</w:t>
      </w:r>
    </w:p>
    <w:p>
      <w:pPr>
        <w:spacing w:before="0" w:after="20" w:line="252" w:lineRule="auto"/>
        <w:ind w:left="288"/>
      </w:pPr>
      <w:r>
        <w:rPr>
          <w:rFonts w:ascii="Aptos" w:hAnsi="Aptos"/>
          <w:b w:val="0"/>
          <w:color w:val="2A2A2A"/>
          <w:sz w:val="20"/>
        </w:rPr>
        <w:t>•  Documento final de la Política de SGSI</w:t>
      </w:r>
    </w:p>
    <w:p>
      <w:pPr>
        <w:spacing w:before="0" w:after="20" w:line="252" w:lineRule="auto"/>
        <w:ind w:left="288"/>
      </w:pPr>
      <w:r>
        <w:rPr>
          <w:rFonts w:ascii="Aptos" w:hAnsi="Aptos"/>
          <w:b w:val="0"/>
          <w:color w:val="2A2A2A"/>
          <w:sz w:val="20"/>
        </w:rPr>
        <w:t>•  Enunciado final del alcance del SGSI</w:t>
      </w:r>
    </w:p>
    <w:p>
      <w:pPr>
        <w:spacing w:before="0" w:after="20" w:line="240" w:lineRule="auto"/>
      </w:pPr>
      <w:r>
        <w:rPr>
          <w:rFonts w:ascii="Aptos" w:hAnsi="Aptos"/>
          <w:b/>
          <w:color w:val="17324D"/>
          <w:sz w:val="32"/>
        </w:rPr>
        <w:t>4.4  Sistema de Gestión de Seguridad de la Información</w:t>
      </w:r>
    </w:p>
    <w:tbl>
      <w:tblPr>
        <w:tblW w:type="auto" w:w="0"/>
        <w:jc w:val="left"/>
        <w:tblLayout w:type="fixed"/>
        <w:tblLook w:firstColumn="1" w:firstRow="1" w:lastColumn="0" w:lastRow="0" w:noHBand="0" w:noVBand="1" w:val="04A0"/>
      </w:tblPr>
      <w:tblGrid>
        <w:gridCol w:w="1800"/>
        <w:gridCol w:w="1800"/>
        <w:gridCol w:w="6048"/>
      </w:tblGrid>
      <w:tr>
        <w:tc>
          <w:tcPr>
            <w:tcW w:type="dxa" w:w="3312"/>
            <w:shd w:fill="D9E6F2"/>
            <w:tcBorders>
              <w:left w:val="single" w:sz="6" w:color="D0D8E2"/>
              <w:top w:val="single" w:sz="6" w:color="D0D8E2"/>
              <w:right w:val="single" w:sz="6" w:color="D0D8E2"/>
              <w:bottom w:val="single" w:sz="6" w:color="D0D8E2"/>
            </w:tcBorders>
            <w:vAlign w:val="center"/>
          </w:tcPr>
          <w:p>
            <w:pPr>
              <w:spacing w:before="0" w:after="0" w:line="276" w:lineRule="auto"/>
              <w:jc w:val="center"/>
            </w:pPr>
            <w:r>
              <w:rPr>
                <w:rFonts w:ascii="Aptos" w:hAnsi="Aptos"/>
                <w:b w:val="0"/>
                <w:color w:val="667085"/>
                <w:sz w:val="17"/>
              </w:rPr>
              <w:t>Numeral</w:t>
              <w:br/>
            </w:r>
            <w:r>
              <w:rPr>
                <w:rFonts w:ascii="Aptos" w:hAnsi="Aptos"/>
                <w:b/>
                <w:color w:val="17324D"/>
                <w:sz w:val="20"/>
              </w:rPr>
              <w:t>4.4</w:t>
            </w:r>
          </w:p>
        </w:tc>
        <w:tc>
          <w:tcPr>
            <w:tcW w:type="dxa" w:w="3312"/>
            <w:shd w:fill="E9F7EF"/>
            <w:tcBorders>
              <w:left w:val="single" w:sz="6" w:color="D0D8E2"/>
              <w:top w:val="single" w:sz="6" w:color="D0D8E2"/>
              <w:right w:val="single" w:sz="6" w:color="D0D8E2"/>
              <w:bottom w:val="single" w:sz="6" w:color="D0D8E2"/>
            </w:tcBorders>
            <w:vAlign w:val="center"/>
          </w:tcPr>
          <w:p>
            <w:pPr>
              <w:spacing w:before="0" w:after="0" w:line="276" w:lineRule="auto"/>
              <w:jc w:val="center"/>
            </w:pPr>
            <w:r>
              <w:rPr>
                <w:rFonts w:ascii="Aptos" w:hAnsi="Aptos"/>
                <w:b w:val="0"/>
                <w:color w:val="667085"/>
                <w:sz w:val="17"/>
              </w:rPr>
              <w:t>Estado</w:t>
              <w:br/>
            </w:r>
            <w:r>
              <w:rPr>
                <w:rFonts w:ascii="Aptos" w:hAnsi="Aptos"/>
                <w:b/>
                <w:color w:val="1D7A46"/>
                <w:sz w:val="20"/>
              </w:rPr>
              <w:t>Cumple</w:t>
            </w:r>
          </w:p>
        </w:tc>
        <w:tc>
          <w:tcPr>
            <w:tcW w:type="dxa" w:w="3312"/>
            <w:shd w:fill="F7FAFC"/>
            <w:tcBorders>
              <w:left w:val="single" w:sz="6" w:color="D0D8E2"/>
              <w:top w:val="single" w:sz="6" w:color="D0D8E2"/>
              <w:right w:val="single" w:sz="6" w:color="D0D8E2"/>
              <w:bottom w:val="single" w:sz="6" w:color="D0D8E2"/>
            </w:tcBorders>
            <w:vAlign w:val="center"/>
          </w:tcPr>
          <w:p>
            <w:pPr>
              <w:spacing w:before="0" w:after="0" w:line="276" w:lineRule="auto"/>
              <w:jc w:val="left"/>
            </w:pPr>
            <w:r>
              <w:rPr>
                <w:rFonts w:ascii="Aptos" w:hAnsi="Aptos"/>
                <w:b w:val="0"/>
                <w:color w:val="667085"/>
                <w:sz w:val="17"/>
              </w:rPr>
              <w:t>Título normalizado</w:t>
              <w:br/>
            </w:r>
            <w:r>
              <w:rPr>
                <w:rFonts w:ascii="Aptos" w:hAnsi="Aptos"/>
                <w:b/>
                <w:color w:val="2A2A2A"/>
                <w:sz w:val="20"/>
              </w:rPr>
              <w:t>Sistema de Gestión de Seguridad de la Información</w:t>
            </w:r>
          </w:p>
        </w:tc>
      </w:tr>
    </w:tbl>
    <w:p/>
    <w:tbl>
      <w:tblPr>
        <w:tblW w:type="auto" w:w="0"/>
        <w:jc w:val="left"/>
        <w:tblLayout w:type="fixed"/>
        <w:tblLook w:firstColumn="1" w:firstRow="1" w:lastColumn="0" w:lastRow="0" w:noHBand="0" w:noVBand="1" w:val="04A0"/>
      </w:tblPr>
      <w:tblGrid>
        <w:gridCol w:w="9792"/>
      </w:tblGrid>
      <w:tr>
        <w:tc>
          <w:tcPr>
            <w:tcW w:type="dxa" w:w="9936"/>
            <w:shd w:fill="FFFFFF"/>
            <w:tcBorders>
              <w:left w:val="single" w:sz="10" w:color="1F4E79"/>
              <w:top w:val="single" w:sz="6" w:color="D0D8E2"/>
              <w:right w:val="single" w:sz="6" w:color="D0D8E2"/>
              <w:bottom w:val="single" w:sz="6" w:color="D0D8E2"/>
            </w:tcBorders>
          </w:tcPr>
          <w:p>
            <w:pPr>
              <w:spacing w:before="0" w:after="0" w:line="288" w:lineRule="auto"/>
            </w:pPr>
            <w:r>
              <w:rPr>
                <w:rFonts w:ascii="Aptos" w:hAnsi="Aptos"/>
                <w:b/>
                <w:color w:val="17324D"/>
                <w:sz w:val="21"/>
              </w:rPr>
              <w:t>Descripción del control</w:t>
              <w:br/>
            </w:r>
            <w:r>
              <w:rPr>
                <w:rFonts w:ascii="Aptos" w:hAnsi="Aptos"/>
                <w:b w:val="0"/>
                <w:color w:val="2A2A2A"/>
                <w:sz w:val="20"/>
              </w:rPr>
              <w:t>La organización debe establecer, implementar, mantener y mejorar continuamente un Sistema de Gestión de Seguridad de la Información, incluyendo los procesos necesarios y sus interacciones, de acuerdo con los requisitos de este Proyecto de Norma Mexicana.</w:t>
            </w:r>
          </w:p>
        </w:tc>
      </w:tr>
    </w:tbl>
    <w:p/>
    <w:p>
      <w:pPr>
        <w:spacing w:before="160" w:after="40" w:line="240" w:lineRule="auto"/>
      </w:pPr>
      <w:r>
        <w:rPr>
          <w:rFonts w:ascii="Aptos" w:hAnsi="Aptos"/>
          <w:b/>
          <w:color w:val="17324D"/>
          <w:sz w:val="23"/>
        </w:rPr>
        <w:t>Documentos de soporte identificados</w:t>
      </w:r>
    </w:p>
    <w:p>
      <w:pPr>
        <w:spacing w:before="0" w:after="20" w:line="252" w:lineRule="auto"/>
        <w:ind w:left="288"/>
      </w:pPr>
      <w:r>
        <w:rPr>
          <w:rFonts w:ascii="Aptos" w:hAnsi="Aptos"/>
          <w:b w:val="0"/>
          <w:color w:val="2A2A2A"/>
          <w:sz w:val="20"/>
        </w:rPr>
        <w:t>•  Documento final de la Política de SGSI</w:t>
      </w:r>
    </w:p>
    <w:p>
      <w:r>
        <w:br w:type="page"/>
      </w:r>
    </w:p>
    <w:p>
      <w:pPr>
        <w:spacing w:before="0" w:after="120" w:line="240" w:lineRule="auto"/>
      </w:pPr>
      <w:r>
        <w:rPr>
          <w:rFonts w:ascii="Aptos" w:hAnsi="Aptos"/>
          <w:b/>
          <w:color w:val="17324D"/>
          <w:sz w:val="28"/>
        </w:rPr>
        <w:t>Observaciones de tratamiento del extracto</w:t>
      </w:r>
    </w:p>
    <w:p>
      <w:pPr>
        <w:spacing w:before="0" w:after="40" w:line="269" w:lineRule="auto"/>
        <w:ind w:left="259"/>
      </w:pPr>
      <w:r>
        <w:rPr>
          <w:rFonts w:ascii="Aptos" w:hAnsi="Aptos"/>
          <w:b w:val="0"/>
          <w:color w:val="2A2A2A"/>
          <w:sz w:val="20"/>
        </w:rPr>
        <w:t>•  Se eliminaron duplicidades entre encabezados numerados y encabezados resumidos.</w:t>
      </w:r>
    </w:p>
    <w:p>
      <w:pPr>
        <w:spacing w:before="0" w:after="40" w:line="269" w:lineRule="auto"/>
        <w:ind w:left="259"/>
      </w:pPr>
      <w:r>
        <w:rPr>
          <w:rFonts w:ascii="Aptos" w:hAnsi="Aptos"/>
          <w:b w:val="0"/>
          <w:color w:val="2A2A2A"/>
          <w:sz w:val="20"/>
        </w:rPr>
        <w:t>•  Para el numeral 4.2 se conservó el bloque cuyo cuerpo coincidía con el propio control, debido a una inconsistencia en el texto extraído.</w:t>
      </w:r>
    </w:p>
    <w:p>
      <w:pPr>
        <w:spacing w:before="0" w:after="40" w:line="269" w:lineRule="auto"/>
        <w:ind w:left="259"/>
      </w:pPr>
      <w:r>
        <w:rPr>
          <w:rFonts w:ascii="Aptos" w:hAnsi="Aptos"/>
          <w:b w:val="0"/>
          <w:color w:val="2A2A2A"/>
          <w:sz w:val="20"/>
        </w:rPr>
        <w:t>•  La estructura final está pensada para revisión rápida y presentación ejecutiva interna.</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7085"/>
        <w:sz w:val="17"/>
      </w:rPr>
      <w:t>Reporte normalizado a partir del extracto fuente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67085"/>
        <w:sz w:val="18"/>
      </w:rPr>
      <w:t>Consolidado de secciones extraídas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