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76" w:lineRule="auto"/>
        <w:jc w:val="left"/>
      </w:pPr>
      <w:r>
        <w:rPr>
          <w:b w:val="0"/>
        </w:rPr>
        <w:t>Requisito 6 - Planificación</w:t>
      </w:r>
    </w:p>
    <w:p>
      <w:pPr>
        <w:pStyle w:val="Subtitle"/>
        <w:spacing w:before="0" w:after="240" w:line="276" w:lineRule="auto"/>
      </w:pPr>
      <w:r>
        <w:rPr>
          <w:b w:val="0"/>
        </w:rPr>
        <w:t>Consolidado del extracto generado a partir de evidencias y controles del SGSI</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05"/>
        <w:gridCol w:w="3005"/>
        <w:gridCol w:w="3005"/>
      </w:tblGrid>
      <w:tr>
        <w:tc>
          <w:tcPr>
            <w:tcW w:type="dxa" w:w="3289"/>
            <w:shd w:fill="EAF3F8"/>
            <w:tcMar>
              <w:top w:w="130" w:type="dxa"/>
              <w:start w:w="120" w:type="dxa"/>
              <w:bottom w:w="130" w:type="dxa"/>
              <w:end w:w="120" w:type="dxa"/>
            </w:tcMar>
            <w:vAlign w:val="center"/>
          </w:tcPr>
          <w:p>
            <w:pPr>
              <w:jc w:val="center"/>
            </w:pPr>
            <w:r>
              <w:rPr>
                <w:color w:val="535F69"/>
                <w:sz w:val="18"/>
              </w:rPr>
              <w:t>Controles únicos</w:t>
              <w:br/>
            </w:r>
            <w:r>
              <w:rPr>
                <w:b/>
                <w:color w:val="184A6B"/>
                <w:sz w:val="26"/>
              </w:rPr>
              <w:t>5</w:t>
            </w:r>
          </w:p>
        </w:tc>
        <w:tc>
          <w:tcPr>
            <w:tcW w:type="dxa" w:w="3289"/>
            <w:shd w:fill="EAF3F8"/>
            <w:tcMar>
              <w:top w:w="130" w:type="dxa"/>
              <w:start w:w="120" w:type="dxa"/>
              <w:bottom w:w="130" w:type="dxa"/>
              <w:end w:w="120" w:type="dxa"/>
            </w:tcMar>
            <w:vAlign w:val="center"/>
          </w:tcPr>
          <w:p>
            <w:pPr>
              <w:jc w:val="center"/>
            </w:pPr>
            <w:r>
              <w:rPr>
                <w:color w:val="535F69"/>
                <w:sz w:val="18"/>
              </w:rPr>
              <w:t>Estado general</w:t>
              <w:br/>
            </w:r>
            <w:r>
              <w:rPr>
                <w:b/>
                <w:color w:val="184A6B"/>
                <w:sz w:val="26"/>
              </w:rPr>
              <w:t>Cumple</w:t>
            </w:r>
          </w:p>
        </w:tc>
        <w:tc>
          <w:tcPr>
            <w:tcW w:type="dxa" w:w="3289"/>
            <w:shd w:fill="EAF3F8"/>
            <w:tcMar>
              <w:top w:w="130" w:type="dxa"/>
              <w:start w:w="120" w:type="dxa"/>
              <w:bottom w:w="130" w:type="dxa"/>
              <w:end w:w="120" w:type="dxa"/>
            </w:tcMar>
            <w:vAlign w:val="center"/>
          </w:tcPr>
          <w:p>
            <w:pPr>
              <w:jc w:val="center"/>
            </w:pPr>
            <w:r>
              <w:rPr>
                <w:color w:val="535F69"/>
                <w:sz w:val="18"/>
              </w:rPr>
              <w:t>Origen</w:t>
              <w:br/>
            </w:r>
            <w:r>
              <w:rPr>
                <w:b/>
                <w:color w:val="184A6B"/>
                <w:sz w:val="26"/>
              </w:rPr>
              <w:t>Extracción TXT</w:t>
            </w:r>
          </w:p>
        </w:tc>
      </w:tr>
    </w:tbl>
    <w:p>
      <w:pPr>
        <w:spacing w:before="0" w:after="80" w:line="276" w:lineRule="auto"/>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6F8FA"/>
            <w:tcMar>
              <w:top w:w="130" w:type="dxa"/>
              <w:start w:w="140" w:type="dxa"/>
              <w:bottom w:w="130" w:type="dxa"/>
              <w:end w:w="140" w:type="dxa"/>
            </w:tcMar>
          </w:tcPr>
          <w:p>
            <w:pPr>
              <w:spacing w:after="120"/>
            </w:pPr>
            <w:r>
              <w:rPr>
                <w:b/>
                <w:color w:val="184A6B"/>
                <w:sz w:val="23"/>
              </w:rPr>
              <w:t>Resumen ejecutivo</w:t>
            </w:r>
          </w:p>
          <w:p>
            <w:pPr>
              <w:pStyle w:val="ListBullet"/>
              <w:spacing w:after="40" w:line="264" w:lineRule="auto"/>
              <w:ind w:left="255"/>
            </w:pPr>
            <w:r>
              <w:t>El extracto contiene cinco controles consolidados del requisito 6, todos marcados como "Cumple".</w:t>
            </w:r>
          </w:p>
          <w:p>
            <w:pPr>
              <w:pStyle w:val="ListBullet"/>
              <w:spacing w:after="40" w:line="264" w:lineRule="auto"/>
              <w:ind w:left="255"/>
            </w:pPr>
            <w:r>
              <w:t>La información gira en torno a la gestión de riesgos, objetivos de seguridad y planificación de cambios dentro del SGSI.</w:t>
            </w:r>
          </w:p>
          <w:p>
            <w:pPr>
              <w:pStyle w:val="ListBullet"/>
              <w:spacing w:after="40" w:line="264" w:lineRule="auto"/>
              <w:ind w:left="255"/>
            </w:pPr>
            <w:r>
              <w:t>Se identificaron duplicados de extracción de interfaz; el presente documento conserva únicamente la versión consolidada de cada control.</w:t>
            </w:r>
          </w:p>
        </w:tc>
      </w:tr>
    </w:tbl>
    <w:p>
      <w:r>
        <w:br w:type="page"/>
      </w:r>
    </w:p>
    <w:p>
      <w:pPr>
        <w:pStyle w:val="Heading1"/>
        <w:spacing w:before="0" w:after="120" w:line="276" w:lineRule="auto"/>
      </w:pPr>
      <w:r>
        <w:rPr>
          <w:b w:val="0"/>
        </w:rPr>
        <w:t>1. Matriz consolidada de cumplimiento</w:t>
      </w:r>
    </w:p>
    <w:p>
      <w:pPr>
        <w:spacing w:before="0" w:after="160" w:line="276" w:lineRule="auto"/>
      </w:pPr>
      <w:r>
        <w:rPr>
          <w:b w:val="0"/>
        </w:rPr>
        <w:t>La siguiente matriz sintetiza los controles únicos identificados en el extracto y el número de evidencias asociadas a cada uno.</w:t>
      </w:r>
    </w:p>
    <w:tbl>
      <w:tblPr>
        <w:tblStyle w:val="TableGrid"/>
        <w:tblW w:type="auto" w:w="0"/>
        <w:jc w:val="center"/>
        <w:tblLayout w:type="fixed"/>
        <w:tblLook w:firstColumn="1" w:firstRow="1" w:lastColumn="0" w:lastRow="0" w:noHBand="0" w:noVBand="1" w:val="04A0"/>
      </w:tblPr>
      <w:tblGrid>
        <w:gridCol w:w="1134"/>
        <w:gridCol w:w="4139"/>
        <w:gridCol w:w="1304"/>
        <w:gridCol w:w="1247"/>
        <w:gridCol w:w="1701"/>
      </w:tblGrid>
      <w:tr>
        <w:trPr>
          <w:tblHeader w:val="true"/>
        </w:trPr>
        <w:tc>
          <w:tcPr>
            <w:tcW w:type="dxa" w:w="1973"/>
            <w:shd w:fill="184A6B"/>
            <w:tcMar>
              <w:top w:w="110" w:type="dxa"/>
              <w:start w:w="90" w:type="dxa"/>
              <w:bottom w:w="110" w:type="dxa"/>
              <w:end w:w="90" w:type="dxa"/>
            </w:tcMar>
            <w:vAlign w:val="center"/>
          </w:tcPr>
          <w:p>
            <w:pPr>
              <w:jc w:val="center"/>
            </w:pPr>
            <w:r>
              <w:rPr>
                <w:b/>
                <w:color w:val="FFFFFF"/>
                <w:sz w:val="19"/>
              </w:rPr>
              <w:t>Código</w:t>
            </w:r>
          </w:p>
        </w:tc>
        <w:tc>
          <w:tcPr>
            <w:tcW w:type="dxa" w:w="1973"/>
            <w:shd w:fill="184A6B"/>
            <w:tcMar>
              <w:top w:w="110" w:type="dxa"/>
              <w:start w:w="90" w:type="dxa"/>
              <w:bottom w:w="110" w:type="dxa"/>
              <w:end w:w="90" w:type="dxa"/>
            </w:tcMar>
            <w:vAlign w:val="center"/>
          </w:tcPr>
          <w:p>
            <w:pPr>
              <w:jc w:val="center"/>
            </w:pPr>
            <w:r>
              <w:rPr>
                <w:b/>
                <w:color w:val="FFFFFF"/>
                <w:sz w:val="19"/>
              </w:rPr>
              <w:t>Control</w:t>
            </w:r>
          </w:p>
        </w:tc>
        <w:tc>
          <w:tcPr>
            <w:tcW w:type="dxa" w:w="1973"/>
            <w:shd w:fill="184A6B"/>
            <w:tcMar>
              <w:top w:w="110" w:type="dxa"/>
              <w:start w:w="90" w:type="dxa"/>
              <w:bottom w:w="110" w:type="dxa"/>
              <w:end w:w="90" w:type="dxa"/>
            </w:tcMar>
            <w:vAlign w:val="center"/>
          </w:tcPr>
          <w:p>
            <w:pPr>
              <w:jc w:val="center"/>
            </w:pPr>
            <w:r>
              <w:rPr>
                <w:b/>
                <w:color w:val="FFFFFF"/>
                <w:sz w:val="19"/>
              </w:rPr>
              <w:t>Estado</w:t>
            </w:r>
          </w:p>
        </w:tc>
        <w:tc>
          <w:tcPr>
            <w:tcW w:type="dxa" w:w="1973"/>
            <w:shd w:fill="184A6B"/>
            <w:tcMar>
              <w:top w:w="110" w:type="dxa"/>
              <w:start w:w="90" w:type="dxa"/>
              <w:bottom w:w="110" w:type="dxa"/>
              <w:end w:w="90" w:type="dxa"/>
            </w:tcMar>
            <w:vAlign w:val="center"/>
          </w:tcPr>
          <w:p>
            <w:pPr>
              <w:jc w:val="center"/>
            </w:pPr>
            <w:r>
              <w:rPr>
                <w:b/>
                <w:color w:val="FFFFFF"/>
                <w:sz w:val="19"/>
              </w:rPr>
              <w:t>Evidencias</w:t>
            </w:r>
          </w:p>
        </w:tc>
        <w:tc>
          <w:tcPr>
            <w:tcW w:type="dxa" w:w="1973"/>
            <w:shd w:fill="184A6B"/>
            <w:tcMar>
              <w:top w:w="110" w:type="dxa"/>
              <w:start w:w="90" w:type="dxa"/>
              <w:bottom w:w="110" w:type="dxa"/>
              <w:end w:w="90" w:type="dxa"/>
            </w:tcMar>
            <w:vAlign w:val="center"/>
          </w:tcPr>
          <w:p>
            <w:pPr>
              <w:jc w:val="center"/>
            </w:pPr>
            <w:r>
              <w:rPr>
                <w:b/>
                <w:color w:val="FFFFFF"/>
                <w:sz w:val="19"/>
              </w:rPr>
              <w:t>Observación</w:t>
            </w:r>
          </w:p>
        </w:tc>
      </w:tr>
      <w:tr>
        <w:tc>
          <w:tcPr>
            <w:tcW w:type="dxa" w:w="1134"/>
            <w:tcMar>
              <w:top w:w="100" w:type="dxa"/>
              <w:start w:w="90" w:type="dxa"/>
              <w:bottom w:w="100" w:type="dxa"/>
              <w:end w:w="90" w:type="dxa"/>
            </w:tcMar>
            <w:vAlign w:val="center"/>
            <w:shd w:fill="EDF4F8"/>
          </w:tcPr>
          <w:p>
            <w:pPr>
              <w:jc w:val="center"/>
            </w:pPr>
            <w:r>
              <w:rPr>
                <w:sz w:val="18"/>
              </w:rPr>
              <w:t>6.1.1</w:t>
            </w:r>
          </w:p>
        </w:tc>
        <w:tc>
          <w:tcPr>
            <w:tcW w:type="dxa" w:w="4139"/>
            <w:tcMar>
              <w:top w:w="100" w:type="dxa"/>
              <w:start w:w="90" w:type="dxa"/>
              <w:bottom w:w="100" w:type="dxa"/>
              <w:end w:w="90" w:type="dxa"/>
            </w:tcMar>
            <w:vAlign w:val="center"/>
          </w:tcPr>
          <w:p>
            <w:pPr>
              <w:jc w:val="left"/>
            </w:pPr>
            <w:r>
              <w:rPr>
                <w:sz w:val="18"/>
              </w:rPr>
              <w:t>Generalidades</w:t>
            </w:r>
          </w:p>
        </w:tc>
        <w:tc>
          <w:tcPr>
            <w:tcW w:type="dxa" w:w="1304"/>
            <w:tcMar>
              <w:top w:w="100" w:type="dxa"/>
              <w:start w:w="90" w:type="dxa"/>
              <w:bottom w:w="100" w:type="dxa"/>
              <w:end w:w="90" w:type="dxa"/>
            </w:tcMar>
            <w:vAlign w:val="center"/>
            <w:shd w:fill="E9F7EF"/>
          </w:tcPr>
          <w:p>
            <w:pPr>
              <w:jc w:val="center"/>
            </w:pPr>
            <w:r>
              <w:rPr>
                <w:sz w:val="18"/>
              </w:rPr>
              <w:t>Cumple</w:t>
            </w:r>
          </w:p>
        </w:tc>
        <w:tc>
          <w:tcPr>
            <w:tcW w:type="dxa" w:w="1247"/>
            <w:tcMar>
              <w:top w:w="100" w:type="dxa"/>
              <w:start w:w="90" w:type="dxa"/>
              <w:bottom w:w="100" w:type="dxa"/>
              <w:end w:w="90" w:type="dxa"/>
            </w:tcMar>
            <w:vAlign w:val="center"/>
            <w:shd w:fill="F6F8FA"/>
          </w:tcPr>
          <w:p>
            <w:pPr>
              <w:jc w:val="center"/>
            </w:pPr>
            <w:r>
              <w:rPr>
                <w:sz w:val="18"/>
              </w:rPr>
              <w:t>4</w:t>
            </w:r>
          </w:p>
        </w:tc>
        <w:tc>
          <w:tcPr>
            <w:tcW w:type="dxa" w:w="1701"/>
            <w:tcMar>
              <w:top w:w="100" w:type="dxa"/>
              <w:start w:w="90" w:type="dxa"/>
              <w:bottom w:w="100" w:type="dxa"/>
              <w:end w:w="90" w:type="dxa"/>
            </w:tcMar>
            <w:vAlign w:val="center"/>
          </w:tcPr>
          <w:p>
            <w:pPr>
              <w:jc w:val="left"/>
            </w:pPr>
            <w:r>
              <w:rPr>
                <w:sz w:val="18"/>
              </w:rPr>
              <w:t>Proceso base</w:t>
            </w:r>
          </w:p>
        </w:tc>
      </w:tr>
      <w:tr>
        <w:tc>
          <w:tcPr>
            <w:tcW w:type="dxa" w:w="1134"/>
            <w:tcMar>
              <w:top w:w="100" w:type="dxa"/>
              <w:start w:w="90" w:type="dxa"/>
              <w:bottom w:w="100" w:type="dxa"/>
              <w:end w:w="90" w:type="dxa"/>
            </w:tcMar>
            <w:vAlign w:val="center"/>
            <w:shd w:fill="EDF4F8"/>
          </w:tcPr>
          <w:p>
            <w:pPr>
              <w:jc w:val="center"/>
            </w:pPr>
            <w:r>
              <w:rPr>
                <w:sz w:val="18"/>
              </w:rPr>
              <w:t>6.1.2</w:t>
            </w:r>
          </w:p>
        </w:tc>
        <w:tc>
          <w:tcPr>
            <w:tcW w:type="dxa" w:w="4139"/>
            <w:tcMar>
              <w:top w:w="100" w:type="dxa"/>
              <w:start w:w="90" w:type="dxa"/>
              <w:bottom w:w="100" w:type="dxa"/>
              <w:end w:w="90" w:type="dxa"/>
            </w:tcMar>
            <w:vAlign w:val="center"/>
          </w:tcPr>
          <w:p>
            <w:pPr>
              <w:jc w:val="left"/>
            </w:pPr>
            <w:r>
              <w:rPr>
                <w:sz w:val="18"/>
              </w:rPr>
              <w:t>Valoración de riesgos de seguridad de la información</w:t>
            </w:r>
          </w:p>
        </w:tc>
        <w:tc>
          <w:tcPr>
            <w:tcW w:type="dxa" w:w="1304"/>
            <w:tcMar>
              <w:top w:w="100" w:type="dxa"/>
              <w:start w:w="90" w:type="dxa"/>
              <w:bottom w:w="100" w:type="dxa"/>
              <w:end w:w="90" w:type="dxa"/>
            </w:tcMar>
            <w:vAlign w:val="center"/>
            <w:shd w:fill="E9F7EF"/>
          </w:tcPr>
          <w:p>
            <w:pPr>
              <w:jc w:val="center"/>
            </w:pPr>
            <w:r>
              <w:rPr>
                <w:sz w:val="18"/>
              </w:rPr>
              <w:t>Cumple</w:t>
            </w:r>
          </w:p>
        </w:tc>
        <w:tc>
          <w:tcPr>
            <w:tcW w:type="dxa" w:w="1247"/>
            <w:tcMar>
              <w:top w:w="100" w:type="dxa"/>
              <w:start w:w="90" w:type="dxa"/>
              <w:bottom w:w="100" w:type="dxa"/>
              <w:end w:w="90" w:type="dxa"/>
            </w:tcMar>
            <w:vAlign w:val="center"/>
            <w:shd w:fill="F6F8FA"/>
          </w:tcPr>
          <w:p>
            <w:pPr>
              <w:jc w:val="center"/>
            </w:pPr>
            <w:r>
              <w:rPr>
                <w:sz w:val="18"/>
              </w:rPr>
              <w:t>2</w:t>
            </w:r>
          </w:p>
        </w:tc>
        <w:tc>
          <w:tcPr>
            <w:tcW w:type="dxa" w:w="1701"/>
            <w:tcMar>
              <w:top w:w="100" w:type="dxa"/>
              <w:start w:w="90" w:type="dxa"/>
              <w:bottom w:w="100" w:type="dxa"/>
              <w:end w:w="90" w:type="dxa"/>
            </w:tcMar>
            <w:vAlign w:val="center"/>
          </w:tcPr>
          <w:p>
            <w:pPr>
              <w:jc w:val="left"/>
            </w:pPr>
            <w:r>
              <w:rPr>
                <w:sz w:val="18"/>
              </w:rPr>
              <w:t>Proceso base</w:t>
            </w:r>
          </w:p>
        </w:tc>
      </w:tr>
      <w:tr>
        <w:tc>
          <w:tcPr>
            <w:tcW w:type="dxa" w:w="1134"/>
            <w:tcMar>
              <w:top w:w="100" w:type="dxa"/>
              <w:start w:w="90" w:type="dxa"/>
              <w:bottom w:w="100" w:type="dxa"/>
              <w:end w:w="90" w:type="dxa"/>
            </w:tcMar>
            <w:vAlign w:val="center"/>
            <w:shd w:fill="EDF4F8"/>
          </w:tcPr>
          <w:p>
            <w:pPr>
              <w:jc w:val="center"/>
            </w:pPr>
            <w:r>
              <w:rPr>
                <w:sz w:val="18"/>
              </w:rPr>
              <w:t>6.1.3</w:t>
            </w:r>
          </w:p>
        </w:tc>
        <w:tc>
          <w:tcPr>
            <w:tcW w:type="dxa" w:w="4139"/>
            <w:tcMar>
              <w:top w:w="100" w:type="dxa"/>
              <w:start w:w="90" w:type="dxa"/>
              <w:bottom w:w="100" w:type="dxa"/>
              <w:end w:w="90" w:type="dxa"/>
            </w:tcMar>
            <w:vAlign w:val="center"/>
          </w:tcPr>
          <w:p>
            <w:pPr>
              <w:jc w:val="left"/>
            </w:pPr>
            <w:r>
              <w:rPr>
                <w:sz w:val="18"/>
              </w:rPr>
              <w:t>Tratamiento de riesgos de seguridad de la información</w:t>
            </w:r>
          </w:p>
        </w:tc>
        <w:tc>
          <w:tcPr>
            <w:tcW w:type="dxa" w:w="1304"/>
            <w:tcMar>
              <w:top w:w="100" w:type="dxa"/>
              <w:start w:w="90" w:type="dxa"/>
              <w:bottom w:w="100" w:type="dxa"/>
              <w:end w:w="90" w:type="dxa"/>
            </w:tcMar>
            <w:vAlign w:val="center"/>
            <w:shd w:fill="E9F7EF"/>
          </w:tcPr>
          <w:p>
            <w:pPr>
              <w:jc w:val="center"/>
            </w:pPr>
            <w:r>
              <w:rPr>
                <w:sz w:val="18"/>
              </w:rPr>
              <w:t>Cumple</w:t>
            </w:r>
          </w:p>
        </w:tc>
        <w:tc>
          <w:tcPr>
            <w:tcW w:type="dxa" w:w="1247"/>
            <w:tcMar>
              <w:top w:w="100" w:type="dxa"/>
              <w:start w:w="90" w:type="dxa"/>
              <w:bottom w:w="100" w:type="dxa"/>
              <w:end w:w="90" w:type="dxa"/>
            </w:tcMar>
            <w:vAlign w:val="center"/>
            <w:shd w:fill="F6F8FA"/>
          </w:tcPr>
          <w:p>
            <w:pPr>
              <w:jc w:val="center"/>
            </w:pPr>
            <w:r>
              <w:rPr>
                <w:sz w:val="18"/>
              </w:rPr>
              <w:t>6</w:t>
            </w:r>
          </w:p>
        </w:tc>
        <w:tc>
          <w:tcPr>
            <w:tcW w:type="dxa" w:w="1701"/>
            <w:tcMar>
              <w:top w:w="100" w:type="dxa"/>
              <w:start w:w="90" w:type="dxa"/>
              <w:bottom w:w="100" w:type="dxa"/>
              <w:end w:w="90" w:type="dxa"/>
            </w:tcMar>
            <w:vAlign w:val="center"/>
          </w:tcPr>
          <w:p>
            <w:pPr>
              <w:jc w:val="left"/>
            </w:pPr>
            <w:r>
              <w:rPr>
                <w:sz w:val="18"/>
              </w:rPr>
              <w:t>Proceso base</w:t>
            </w:r>
          </w:p>
        </w:tc>
      </w:tr>
      <w:tr>
        <w:tc>
          <w:tcPr>
            <w:tcW w:type="dxa" w:w="1134"/>
            <w:tcMar>
              <w:top w:w="100" w:type="dxa"/>
              <w:start w:w="90" w:type="dxa"/>
              <w:bottom w:w="100" w:type="dxa"/>
              <w:end w:w="90" w:type="dxa"/>
            </w:tcMar>
            <w:vAlign w:val="center"/>
            <w:shd w:fill="EDF4F8"/>
          </w:tcPr>
          <w:p>
            <w:pPr>
              <w:jc w:val="center"/>
            </w:pPr>
            <w:r>
              <w:rPr>
                <w:sz w:val="18"/>
              </w:rPr>
              <w:t>6.2</w:t>
            </w:r>
          </w:p>
        </w:tc>
        <w:tc>
          <w:tcPr>
            <w:tcW w:type="dxa" w:w="4139"/>
            <w:tcMar>
              <w:top w:w="100" w:type="dxa"/>
              <w:start w:w="90" w:type="dxa"/>
              <w:bottom w:w="100" w:type="dxa"/>
              <w:end w:w="90" w:type="dxa"/>
            </w:tcMar>
            <w:vAlign w:val="center"/>
          </w:tcPr>
          <w:p>
            <w:pPr>
              <w:jc w:val="left"/>
            </w:pPr>
            <w:r>
              <w:rPr>
                <w:sz w:val="18"/>
              </w:rPr>
              <w:t>Alcanzando los objetivos y planes de seguridad de la información</w:t>
            </w:r>
          </w:p>
        </w:tc>
        <w:tc>
          <w:tcPr>
            <w:tcW w:type="dxa" w:w="1304"/>
            <w:tcMar>
              <w:top w:w="100" w:type="dxa"/>
              <w:start w:w="90" w:type="dxa"/>
              <w:bottom w:w="100" w:type="dxa"/>
              <w:end w:w="90" w:type="dxa"/>
            </w:tcMar>
            <w:vAlign w:val="center"/>
            <w:shd w:fill="E9F7EF"/>
          </w:tcPr>
          <w:p>
            <w:pPr>
              <w:jc w:val="center"/>
            </w:pPr>
            <w:r>
              <w:rPr>
                <w:sz w:val="18"/>
              </w:rPr>
              <w:t>Cumple</w:t>
            </w:r>
          </w:p>
        </w:tc>
        <w:tc>
          <w:tcPr>
            <w:tcW w:type="dxa" w:w="1247"/>
            <w:tcMar>
              <w:top w:w="100" w:type="dxa"/>
              <w:start w:w="90" w:type="dxa"/>
              <w:bottom w:w="100" w:type="dxa"/>
              <w:end w:w="90" w:type="dxa"/>
            </w:tcMar>
            <w:vAlign w:val="center"/>
            <w:shd w:fill="F6F8FA"/>
          </w:tcPr>
          <w:p>
            <w:pPr>
              <w:jc w:val="center"/>
            </w:pPr>
            <w:r>
              <w:rPr>
                <w:sz w:val="18"/>
              </w:rPr>
              <w:t>4</w:t>
            </w:r>
          </w:p>
        </w:tc>
        <w:tc>
          <w:tcPr>
            <w:tcW w:type="dxa" w:w="1701"/>
            <w:tcMar>
              <w:top w:w="100" w:type="dxa"/>
              <w:start w:w="90" w:type="dxa"/>
              <w:bottom w:w="100" w:type="dxa"/>
              <w:end w:w="90" w:type="dxa"/>
            </w:tcMar>
            <w:vAlign w:val="center"/>
          </w:tcPr>
          <w:p>
            <w:pPr>
              <w:jc w:val="left"/>
            </w:pPr>
            <w:r>
              <w:rPr>
                <w:sz w:val="18"/>
              </w:rPr>
              <w:t>Planeación operativa</w:t>
            </w:r>
          </w:p>
        </w:tc>
      </w:tr>
      <w:tr>
        <w:tc>
          <w:tcPr>
            <w:tcW w:type="dxa" w:w="1134"/>
            <w:tcMar>
              <w:top w:w="100" w:type="dxa"/>
              <w:start w:w="90" w:type="dxa"/>
              <w:bottom w:w="100" w:type="dxa"/>
              <w:end w:w="90" w:type="dxa"/>
            </w:tcMar>
            <w:vAlign w:val="center"/>
            <w:shd w:fill="EDF4F8"/>
          </w:tcPr>
          <w:p>
            <w:pPr>
              <w:jc w:val="center"/>
            </w:pPr>
            <w:r>
              <w:rPr>
                <w:sz w:val="18"/>
              </w:rPr>
              <w:t>6.3</w:t>
            </w:r>
          </w:p>
        </w:tc>
        <w:tc>
          <w:tcPr>
            <w:tcW w:type="dxa" w:w="4139"/>
            <w:tcMar>
              <w:top w:w="100" w:type="dxa"/>
              <w:start w:w="90" w:type="dxa"/>
              <w:bottom w:w="100" w:type="dxa"/>
              <w:end w:w="90" w:type="dxa"/>
            </w:tcMar>
            <w:vAlign w:val="center"/>
          </w:tcPr>
          <w:p>
            <w:pPr>
              <w:jc w:val="left"/>
            </w:pPr>
            <w:r>
              <w:rPr>
                <w:sz w:val="18"/>
              </w:rPr>
              <w:t>Planificación de cambios</w:t>
            </w:r>
          </w:p>
        </w:tc>
        <w:tc>
          <w:tcPr>
            <w:tcW w:type="dxa" w:w="1304"/>
            <w:tcMar>
              <w:top w:w="100" w:type="dxa"/>
              <w:start w:w="90" w:type="dxa"/>
              <w:bottom w:w="100" w:type="dxa"/>
              <w:end w:w="90" w:type="dxa"/>
            </w:tcMar>
            <w:vAlign w:val="center"/>
            <w:shd w:fill="E9F7EF"/>
          </w:tcPr>
          <w:p>
            <w:pPr>
              <w:jc w:val="center"/>
            </w:pPr>
            <w:r>
              <w:rPr>
                <w:sz w:val="18"/>
              </w:rPr>
              <w:t>Cumple</w:t>
            </w:r>
          </w:p>
        </w:tc>
        <w:tc>
          <w:tcPr>
            <w:tcW w:type="dxa" w:w="1247"/>
            <w:tcMar>
              <w:top w:w="100" w:type="dxa"/>
              <w:start w:w="90" w:type="dxa"/>
              <w:bottom w:w="100" w:type="dxa"/>
              <w:end w:w="90" w:type="dxa"/>
            </w:tcMar>
            <w:vAlign w:val="center"/>
            <w:shd w:fill="F6F8FA"/>
          </w:tcPr>
          <w:p>
            <w:pPr>
              <w:jc w:val="center"/>
            </w:pPr>
            <w:r>
              <w:rPr>
                <w:sz w:val="18"/>
              </w:rPr>
              <w:t>2</w:t>
            </w:r>
          </w:p>
        </w:tc>
        <w:tc>
          <w:tcPr>
            <w:tcW w:type="dxa" w:w="1701"/>
            <w:tcMar>
              <w:top w:w="100" w:type="dxa"/>
              <w:start w:w="90" w:type="dxa"/>
              <w:bottom w:w="100" w:type="dxa"/>
              <w:end w:w="90" w:type="dxa"/>
            </w:tcMar>
            <w:vAlign w:val="center"/>
          </w:tcPr>
          <w:p>
            <w:pPr>
              <w:jc w:val="left"/>
            </w:pPr>
            <w:r>
              <w:rPr>
                <w:sz w:val="18"/>
              </w:rPr>
              <w:t>Planeación operativa</w:t>
            </w:r>
          </w:p>
        </w:tc>
      </w:tr>
    </w:tbl>
    <w:p>
      <w:pPr>
        <w:spacing w:before="0" w:after="60" w:line="276" w:lineRule="auto"/>
      </w:pPr>
    </w:p>
    <w:p>
      <w:pPr>
        <w:pStyle w:val="Heading1"/>
        <w:spacing w:before="160" w:after="80" w:line="276" w:lineRule="auto"/>
      </w:pPr>
      <w:r>
        <w:rPr>
          <w:b w:val="0"/>
        </w:rPr>
        <w:t>2. Detalle por sección</w:t>
      </w:r>
    </w:p>
    <w:p>
      <w:pPr>
        <w:spacing w:before="0" w:after="160" w:line="276" w:lineRule="auto"/>
      </w:pPr>
      <w:r>
        <w:rPr>
          <w:b w:val="0"/>
        </w:rPr>
        <w:t>Cada bloque conserva la descripción del control y la relación de documentos/evidencias observados en el archivo fuente.</w:t>
      </w:r>
    </w:p>
    <w:p>
      <w:pPr>
        <w:pStyle w:val="Heading2"/>
        <w:spacing w:before="200" w:after="60" w:line="276" w:lineRule="auto"/>
      </w:pPr>
      <w:r>
        <w:rPr>
          <w:b w:val="0"/>
        </w:rPr>
        <w:t>6.1.1 Generalidades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268"/>
        <w:gridCol w:w="2494"/>
        <w:gridCol w:w="4762"/>
      </w:tblGrid>
      <w:tr>
        <w:tc>
          <w:tcPr>
            <w:tcW w:type="dxa" w:w="3289"/>
            <w:shd w:fill="F2F6F9"/>
            <w:tcMar>
              <w:top w:w="90" w:type="dxa"/>
              <w:start w:w="100" w:type="dxa"/>
              <w:bottom w:w="90" w:type="dxa"/>
              <w:end w:w="100" w:type="dxa"/>
            </w:tcMar>
            <w:vAlign w:val="center"/>
          </w:tcPr>
          <w:p>
            <w:pPr>
              <w:jc w:val="center"/>
            </w:pPr>
            <w:r>
              <w:rPr>
                <w:color w:val="5D646A"/>
                <w:sz w:val="17"/>
              </w:rPr>
              <w:t>Estado</w:t>
              <w:br/>
            </w:r>
            <w:r>
              <w:rPr>
                <w:b/>
                <w:color w:val="184A6B"/>
                <w:sz w:val="21"/>
              </w:rPr>
              <w:t>Cumple</w:t>
            </w:r>
          </w:p>
        </w:tc>
        <w:tc>
          <w:tcPr>
            <w:tcW w:type="dxa" w:w="3289"/>
            <w:shd w:fill="F2F6F9"/>
            <w:tcMar>
              <w:top w:w="90" w:type="dxa"/>
              <w:start w:w="100" w:type="dxa"/>
              <w:bottom w:w="90" w:type="dxa"/>
              <w:end w:w="100" w:type="dxa"/>
            </w:tcMar>
            <w:vAlign w:val="center"/>
          </w:tcPr>
          <w:p>
            <w:pPr>
              <w:jc w:val="center"/>
            </w:pPr>
            <w:r>
              <w:rPr>
                <w:color w:val="5D646A"/>
                <w:sz w:val="17"/>
              </w:rPr>
              <w:t>Cobertura</w:t>
              <w:br/>
            </w:r>
            <w:r>
              <w:rPr>
                <w:b/>
                <w:color w:val="184A6B"/>
                <w:sz w:val="21"/>
              </w:rPr>
              <w:t>4/4</w:t>
            </w:r>
          </w:p>
        </w:tc>
        <w:tc>
          <w:tcPr>
            <w:tcW w:type="dxa" w:w="3289"/>
            <w:shd w:fill="F2F6F9"/>
            <w:tcMar>
              <w:top w:w="90" w:type="dxa"/>
              <w:start w:w="100" w:type="dxa"/>
              <w:bottom w:w="90" w:type="dxa"/>
              <w:end w:w="100" w:type="dxa"/>
            </w:tcMar>
            <w:vAlign w:val="center"/>
          </w:tcPr>
          <w:p>
            <w:pPr>
              <w:jc w:val="center"/>
            </w:pPr>
            <w:r>
              <w:rPr>
                <w:color w:val="5D646A"/>
                <w:sz w:val="17"/>
              </w:rPr>
              <w:t>Tipo</w:t>
              <w:br/>
            </w:r>
            <w:r>
              <w:rPr>
                <w:b/>
                <w:color w:val="184A6B"/>
                <w:sz w:val="21"/>
              </w:rPr>
              <w:t>Planificación / riesgo</w:t>
            </w:r>
          </w:p>
        </w:tc>
      </w:tr>
    </w:tbl>
    <w:p>
      <w:pPr>
        <w:spacing w:before="0" w:after="20" w:line="276" w:lineRule="auto"/>
      </w:pPr>
    </w:p>
    <w:p>
      <w:pPr>
        <w:pStyle w:val="Heading3"/>
        <w:spacing w:before="20" w:after="20" w:line="276" w:lineRule="auto"/>
      </w:pPr>
      <w:r>
        <w:rPr>
          <w:b w:val="0"/>
        </w:rPr>
        <w:t>Descripción del control</w:t>
      </w:r>
    </w:p>
    <w:p>
      <w:pPr>
        <w:spacing w:before="0" w:after="100" w:line="288" w:lineRule="auto"/>
      </w:pPr>
      <w:r>
        <w:rPr>
          <w:b w:val="0"/>
        </w:rPr>
        <w:t>Cuando se planee el Sistema de Gestión de Seguridad de la Información, la organización debe considerar los aspectos referidos en el inciso 4.1 y los requisitos referidos en el inciso 4.2 y determinar los riesgos y oportunidades que necesitan ser dirigidas para: a) asegurar que el Sistema de Gestión de Seguridad de la información pueda lograr el resultado(s) previsto (s); b) prevenir, o reducir, los efectos no deseados y; c) lograr la mejora continua. La organización debe planear: d) acciones para dirigir estos riesgos y oportunidades y; e) como; 1) integrar e implementar las acciones en sus procesos del Sistema de Gestión de Seguridad de la Información y; 2) evaluar la eficacia de estas acciones.</w:t>
      </w:r>
    </w:p>
    <w:p>
      <w:pPr>
        <w:pStyle w:val="Heading3"/>
        <w:spacing w:before="20" w:after="40" w:line="276" w:lineRule="auto"/>
      </w:pPr>
      <w:r>
        <w:rPr>
          <w:b w:val="0"/>
        </w:rPr>
        <w:t>Evidencias identificadas</w:t>
      </w:r>
    </w:p>
    <w:p>
      <w:pPr>
        <w:pStyle w:val="ListBullet"/>
        <w:spacing w:after="40" w:line="269" w:lineRule="auto"/>
        <w:ind w:left="227"/>
      </w:pPr>
      <w:r>
        <w:t>Documento final de la Política de SGSI</w:t>
      </w:r>
    </w:p>
    <w:p>
      <w:pPr>
        <w:pStyle w:val="ListBullet"/>
        <w:spacing w:after="40" w:line="269" w:lineRule="auto"/>
        <w:ind w:left="227"/>
      </w:pPr>
      <w:r>
        <w:t>Documento final de la Metodología de Gestión de Riesgos</w:t>
      </w:r>
    </w:p>
    <w:p>
      <w:pPr>
        <w:pStyle w:val="ListBullet"/>
        <w:spacing w:after="40" w:line="269" w:lineRule="auto"/>
        <w:ind w:left="227"/>
      </w:pPr>
      <w:r>
        <w:t>Evidencia de aprobación de la Metodología de Gestión de Riesgos</w:t>
      </w:r>
    </w:p>
    <w:p>
      <w:pPr>
        <w:pStyle w:val="ListBullet"/>
        <w:spacing w:after="40" w:line="269" w:lineRule="auto"/>
        <w:ind w:left="227"/>
      </w:pPr>
      <w:r>
        <w:t>Evidencia de comunicación de la Metodología de Gestión de Riesgos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FF8E8"/>
            <w:tcMar>
              <w:top w:w="80" w:type="dxa"/>
              <w:start w:w="120" w:type="dxa"/>
              <w:bottom w:w="80" w:type="dxa"/>
              <w:end w:w="120" w:type="dxa"/>
            </w:tcMar>
          </w:tcPr>
          <w:p>
            <w:pPr>
              <w:spacing w:after="0"/>
            </w:pPr>
            <w:r>
              <w:rPr>
                <w:b/>
                <w:color w:val="8A5F00"/>
              </w:rPr>
              <w:t xml:space="preserve">Nota de lectura: </w:t>
            </w:r>
            <w:r>
              <w:rPr>
                <w:color w:val="6E5821"/>
              </w:rPr>
              <w:t>Este control forma parte del bloque de planeación del riesgo dentro del SGSI.</w:t>
            </w:r>
          </w:p>
        </w:tc>
      </w:tr>
    </w:tbl>
    <w:p>
      <w:pPr>
        <w:spacing w:before="0" w:after="40" w:line="276" w:lineRule="auto"/>
      </w:pPr>
    </w:p>
    <w:p>
      <w:pPr>
        <w:pStyle w:val="Heading2"/>
        <w:spacing w:before="200" w:after="60" w:line="276" w:lineRule="auto"/>
      </w:pPr>
      <w:r>
        <w:rPr>
          <w:b w:val="0"/>
        </w:rPr>
        <w:t>6.1.2 Valoración de riesgos de seguridad de la información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268"/>
        <w:gridCol w:w="2494"/>
        <w:gridCol w:w="4762"/>
      </w:tblGrid>
      <w:tr>
        <w:tc>
          <w:tcPr>
            <w:tcW w:type="dxa" w:w="3289"/>
            <w:shd w:fill="F2F6F9"/>
            <w:tcMar>
              <w:top w:w="90" w:type="dxa"/>
              <w:start w:w="100" w:type="dxa"/>
              <w:bottom w:w="90" w:type="dxa"/>
              <w:end w:w="100" w:type="dxa"/>
            </w:tcMar>
            <w:vAlign w:val="center"/>
          </w:tcPr>
          <w:p>
            <w:pPr>
              <w:jc w:val="center"/>
            </w:pPr>
            <w:r>
              <w:rPr>
                <w:color w:val="5D646A"/>
                <w:sz w:val="17"/>
              </w:rPr>
              <w:t>Estado</w:t>
              <w:br/>
            </w:r>
            <w:r>
              <w:rPr>
                <w:b/>
                <w:color w:val="184A6B"/>
                <w:sz w:val="21"/>
              </w:rPr>
              <w:t>Cumple</w:t>
            </w:r>
          </w:p>
        </w:tc>
        <w:tc>
          <w:tcPr>
            <w:tcW w:type="dxa" w:w="3289"/>
            <w:shd w:fill="F2F6F9"/>
            <w:tcMar>
              <w:top w:w="90" w:type="dxa"/>
              <w:start w:w="100" w:type="dxa"/>
              <w:bottom w:w="90" w:type="dxa"/>
              <w:end w:w="100" w:type="dxa"/>
            </w:tcMar>
            <w:vAlign w:val="center"/>
          </w:tcPr>
          <w:p>
            <w:pPr>
              <w:jc w:val="center"/>
            </w:pPr>
            <w:r>
              <w:rPr>
                <w:color w:val="5D646A"/>
                <w:sz w:val="17"/>
              </w:rPr>
              <w:t>Cobertura</w:t>
              <w:br/>
            </w:r>
            <w:r>
              <w:rPr>
                <w:b/>
                <w:color w:val="184A6B"/>
                <w:sz w:val="21"/>
              </w:rPr>
              <w:t>2/2</w:t>
            </w:r>
          </w:p>
        </w:tc>
        <w:tc>
          <w:tcPr>
            <w:tcW w:type="dxa" w:w="3289"/>
            <w:shd w:fill="F2F6F9"/>
            <w:tcMar>
              <w:top w:w="90" w:type="dxa"/>
              <w:start w:w="100" w:type="dxa"/>
              <w:bottom w:w="90" w:type="dxa"/>
              <w:end w:w="100" w:type="dxa"/>
            </w:tcMar>
            <w:vAlign w:val="center"/>
          </w:tcPr>
          <w:p>
            <w:pPr>
              <w:jc w:val="center"/>
            </w:pPr>
            <w:r>
              <w:rPr>
                <w:color w:val="5D646A"/>
                <w:sz w:val="17"/>
              </w:rPr>
              <w:t>Tipo</w:t>
              <w:br/>
            </w:r>
            <w:r>
              <w:rPr>
                <w:b/>
                <w:color w:val="184A6B"/>
                <w:sz w:val="21"/>
              </w:rPr>
              <w:t>Planificación / riesgo</w:t>
            </w:r>
          </w:p>
        </w:tc>
      </w:tr>
    </w:tbl>
    <w:p>
      <w:pPr>
        <w:spacing w:before="0" w:after="20" w:line="276" w:lineRule="auto"/>
      </w:pPr>
    </w:p>
    <w:p>
      <w:pPr>
        <w:pStyle w:val="Heading3"/>
        <w:spacing w:before="20" w:after="20" w:line="276" w:lineRule="auto"/>
      </w:pPr>
      <w:r>
        <w:rPr>
          <w:b w:val="0"/>
        </w:rPr>
        <w:t>Descripción del control</w:t>
      </w:r>
    </w:p>
    <w:p>
      <w:pPr>
        <w:spacing w:before="0" w:after="100" w:line="288" w:lineRule="auto"/>
      </w:pPr>
      <w:r>
        <w:rPr>
          <w:b w:val="0"/>
        </w:rPr>
        <w:t>La organización debe definir y aplicar un proceso de valoración de riesgos de seguridad de la información para: a) establecer y mantener los criterios de riesgos de seguridad de la información que incluya: 1) el criterio de aceptación del riesgo y; 2) los criterios para realizar las valoraciones de riesgos de seguridad de la información; b) asegurar de que al repetir las valoraciones de riesgos de seguridad de la información produzcan resultados consistentes, válidos y comparables; c) identificar los riesgos de seguridad de la información: 1) aplicar el proceso de valoración de riesgos de seguridad de la información para identificar riesgos asociados a la pérdida de confidencialidad, integridad y disponibilidad de la información dentro del alcance del Sistema de Gestión de Seguridad de la información; e 2) identificar a los propietarios de los riesgos; d) analizar los riesgos de seguridad de la información: 1) valorar las consecuencias potenciales que se derivan si los riesgos identificados en el subinciso 1) del inciso c) llegan a materializarse; 2) valorar la probabilidad realista de la ocurrencia de los riesgos identificados en el subinciso 1) del inciso c) y; 3) determinar los niveles de riesgo; e) evaluar los riesgos de seguridad de la información: 1) comparar los resultados del análisis de riesgo con los criterios de riesgo establecidos en el inciso a); y 2) priorizar los riesgos analizados para el tratamiento de riesgo. La organización debe conservar información documentada sobre el proceso de valoración de riesgos de Seguridad de la Información.</w:t>
      </w:r>
    </w:p>
    <w:p>
      <w:pPr>
        <w:pStyle w:val="Heading3"/>
        <w:spacing w:before="20" w:after="40" w:line="276" w:lineRule="auto"/>
      </w:pPr>
      <w:r>
        <w:rPr>
          <w:b w:val="0"/>
        </w:rPr>
        <w:t>Evidencias identificadas</w:t>
      </w:r>
    </w:p>
    <w:p>
      <w:pPr>
        <w:pStyle w:val="ListBullet"/>
        <w:spacing w:after="40" w:line="269" w:lineRule="auto"/>
        <w:ind w:left="227"/>
      </w:pPr>
      <w:r>
        <w:t>Documento final de la Política de SGSI</w:t>
      </w:r>
    </w:p>
    <w:p>
      <w:pPr>
        <w:pStyle w:val="ListBullet"/>
        <w:spacing w:after="40" w:line="269" w:lineRule="auto"/>
        <w:ind w:left="227"/>
      </w:pPr>
      <w:r>
        <w:t>Documento final de la Metodología de Gestión de Riesgos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FF8E8"/>
            <w:tcMar>
              <w:top w:w="80" w:type="dxa"/>
              <w:start w:w="120" w:type="dxa"/>
              <w:bottom w:w="80" w:type="dxa"/>
              <w:end w:w="120" w:type="dxa"/>
            </w:tcMar>
          </w:tcPr>
          <w:p>
            <w:pPr>
              <w:spacing w:after="0"/>
            </w:pPr>
            <w:r>
              <w:rPr>
                <w:b/>
                <w:color w:val="8A5F00"/>
              </w:rPr>
              <w:t xml:space="preserve">Nota de lectura: </w:t>
            </w:r>
            <w:r>
              <w:rPr>
                <w:color w:val="6E5821"/>
              </w:rPr>
              <w:t>Este control forma parte del bloque de planeación del riesgo dentro del SGSI.</w:t>
            </w:r>
          </w:p>
        </w:tc>
      </w:tr>
    </w:tbl>
    <w:p>
      <w:pPr>
        <w:spacing w:before="0" w:after="40" w:line="276" w:lineRule="auto"/>
      </w:pPr>
    </w:p>
    <w:p>
      <w:pPr>
        <w:pStyle w:val="Heading2"/>
        <w:spacing w:before="200" w:after="60" w:line="276" w:lineRule="auto"/>
      </w:pPr>
      <w:r>
        <w:rPr>
          <w:b w:val="0"/>
        </w:rPr>
        <w:t>6.1.3 Tratamiento de riesgos de seguridad de la información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268"/>
        <w:gridCol w:w="2494"/>
        <w:gridCol w:w="4762"/>
      </w:tblGrid>
      <w:tr>
        <w:tc>
          <w:tcPr>
            <w:tcW w:type="dxa" w:w="3289"/>
            <w:shd w:fill="F2F6F9"/>
            <w:tcMar>
              <w:top w:w="90" w:type="dxa"/>
              <w:start w:w="100" w:type="dxa"/>
              <w:bottom w:w="90" w:type="dxa"/>
              <w:end w:w="100" w:type="dxa"/>
            </w:tcMar>
            <w:vAlign w:val="center"/>
          </w:tcPr>
          <w:p>
            <w:pPr>
              <w:jc w:val="center"/>
            </w:pPr>
            <w:r>
              <w:rPr>
                <w:color w:val="5D646A"/>
                <w:sz w:val="17"/>
              </w:rPr>
              <w:t>Estado</w:t>
              <w:br/>
            </w:r>
            <w:r>
              <w:rPr>
                <w:b/>
                <w:color w:val="184A6B"/>
                <w:sz w:val="21"/>
              </w:rPr>
              <w:t>Cumple</w:t>
            </w:r>
          </w:p>
        </w:tc>
        <w:tc>
          <w:tcPr>
            <w:tcW w:type="dxa" w:w="3289"/>
            <w:shd w:fill="F2F6F9"/>
            <w:tcMar>
              <w:top w:w="90" w:type="dxa"/>
              <w:start w:w="100" w:type="dxa"/>
              <w:bottom w:w="90" w:type="dxa"/>
              <w:end w:w="100" w:type="dxa"/>
            </w:tcMar>
            <w:vAlign w:val="center"/>
          </w:tcPr>
          <w:p>
            <w:pPr>
              <w:jc w:val="center"/>
            </w:pPr>
            <w:r>
              <w:rPr>
                <w:color w:val="5D646A"/>
                <w:sz w:val="17"/>
              </w:rPr>
              <w:t>Cobertura</w:t>
              <w:br/>
            </w:r>
            <w:r>
              <w:rPr>
                <w:b/>
                <w:color w:val="184A6B"/>
                <w:sz w:val="21"/>
              </w:rPr>
              <w:t>6/6</w:t>
            </w:r>
          </w:p>
        </w:tc>
        <w:tc>
          <w:tcPr>
            <w:tcW w:type="dxa" w:w="3289"/>
            <w:shd w:fill="F2F6F9"/>
            <w:tcMar>
              <w:top w:w="90" w:type="dxa"/>
              <w:start w:w="100" w:type="dxa"/>
              <w:bottom w:w="90" w:type="dxa"/>
              <w:end w:w="100" w:type="dxa"/>
            </w:tcMar>
            <w:vAlign w:val="center"/>
          </w:tcPr>
          <w:p>
            <w:pPr>
              <w:jc w:val="center"/>
            </w:pPr>
            <w:r>
              <w:rPr>
                <w:color w:val="5D646A"/>
                <w:sz w:val="17"/>
              </w:rPr>
              <w:t>Tipo</w:t>
              <w:br/>
            </w:r>
            <w:r>
              <w:rPr>
                <w:b/>
                <w:color w:val="184A6B"/>
                <w:sz w:val="21"/>
              </w:rPr>
              <w:t>Planificación / riesgo</w:t>
            </w:r>
          </w:p>
        </w:tc>
      </w:tr>
    </w:tbl>
    <w:p>
      <w:pPr>
        <w:spacing w:before="0" w:after="20" w:line="276" w:lineRule="auto"/>
      </w:pPr>
    </w:p>
    <w:p>
      <w:pPr>
        <w:pStyle w:val="Heading3"/>
        <w:spacing w:before="20" w:after="20" w:line="276" w:lineRule="auto"/>
      </w:pPr>
      <w:r>
        <w:rPr>
          <w:b w:val="0"/>
        </w:rPr>
        <w:t>Descripción del control</w:t>
      </w:r>
    </w:p>
    <w:p>
      <w:pPr>
        <w:spacing w:before="0" w:after="100" w:line="288" w:lineRule="auto"/>
      </w:pPr>
      <w:r>
        <w:rPr>
          <w:b w:val="0"/>
        </w:rPr>
        <w:t>La organización debe definir y aplicar un proceso de tratamiento de riesgos de seguridad de la información para: a) seleccionar opciones apropiadas de tratamiento de riesgos de seguridad de la información, tomando en cuenta los resultados de la valoración de riesgos; b) determinar todos los controles que sean necesarios para implementar la(s) opción(es) de tratamiento de riesgos de seguridad de la información elegida(s). Nota: Las organizaciones pueden diseñar controles según sea necesario, o identificarlos de cualquier fuente. c) comparar los controles determinados en el inciso 6.1.3 inciso b), con los descritos en el apéndice “A” y verificar que no se hayan omitido controles necesarios; Notas: 1) El apéndice “A” contiene una lista de posibles controles de seguridad de la información. Los usuarios de este Proyecto de Norma Mexicana son referidos al apéndice “A” para garantizar que no se pasen por alto los controles de seguridad de la información necesarios. 2) Los controles de seguridad de la información listados en el apéndice “A” no son exhaustivos y es posible que sea necesaria información adicional sobre controles de seguridad. d) producir una declaración de aplicabilidad que contenga; - los controles necesarios (ver el subinciso 6.1.3 inciso b) e inciso c)); - justificación de las inclusiones, - si están implementadas o no, y - la justificación de la exclusión de controles del apéndice “A” e) formular el plan de tratamiento de riesgos de seguridad de la información; y f) obtener la aprobación del plan de tratamiento de riesgos de seguridad de la información y aceptación de los riesgos residuales de seguridad de la información por parte de los propietarios de los riesgos. La organización debe conservar información documentada sobre el proceso de tratamiento de riesgos de seguridad de la información. Nota: El proceso de valoración y tratamiento de riesgos de seguridad de la información en este Proyecto de Norma Mexicana se alinea con los principios y lineamientos genéricos previstos en la NMX-SAST-31000-IMNC-2018.</w:t>
      </w:r>
    </w:p>
    <w:p>
      <w:pPr>
        <w:pStyle w:val="Heading3"/>
        <w:spacing w:before="20" w:after="40" w:line="276" w:lineRule="auto"/>
      </w:pPr>
      <w:r>
        <w:rPr>
          <w:b w:val="0"/>
        </w:rPr>
        <w:t>Evidencias identificadas</w:t>
      </w:r>
    </w:p>
    <w:p>
      <w:pPr>
        <w:pStyle w:val="ListBullet"/>
        <w:spacing w:after="40" w:line="269" w:lineRule="auto"/>
        <w:ind w:left="227"/>
      </w:pPr>
      <w:r>
        <w:t>Documento final de la Política de SGSI</w:t>
      </w:r>
    </w:p>
    <w:p>
      <w:pPr>
        <w:pStyle w:val="ListBullet"/>
        <w:spacing w:after="40" w:line="269" w:lineRule="auto"/>
        <w:ind w:left="227"/>
      </w:pPr>
      <w:r>
        <w:t>Documento final de la Metodología de Gestión de Riesgos</w:t>
      </w:r>
    </w:p>
    <w:p>
      <w:pPr>
        <w:pStyle w:val="ListBullet"/>
        <w:spacing w:after="40" w:line="269" w:lineRule="auto"/>
        <w:ind w:left="227"/>
      </w:pPr>
      <w:r>
        <w:t>Documento final de la Declaración de Aplicabilidad</w:t>
      </w:r>
    </w:p>
    <w:p>
      <w:pPr>
        <w:pStyle w:val="ListBullet"/>
        <w:spacing w:after="40" w:line="269" w:lineRule="auto"/>
        <w:ind w:left="227"/>
      </w:pPr>
      <w:r>
        <w:t>Evidencia de aprobación de la Declaración de Aplicabilidad</w:t>
      </w:r>
    </w:p>
    <w:p>
      <w:pPr>
        <w:pStyle w:val="ListBullet"/>
        <w:spacing w:after="40" w:line="269" w:lineRule="auto"/>
        <w:ind w:left="227"/>
      </w:pPr>
      <w:r>
        <w:t>Evidencia de comunicación de la Declaración de Aplicabilidad</w:t>
      </w:r>
    </w:p>
    <w:p>
      <w:pPr>
        <w:pStyle w:val="ListBullet"/>
        <w:spacing w:after="40" w:line="269" w:lineRule="auto"/>
        <w:ind w:left="227"/>
      </w:pPr>
      <w:r>
        <w:t>Evidencia de la asociación de controles normativos a los riesgos de seguridad</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FF8E8"/>
            <w:tcMar>
              <w:top w:w="80" w:type="dxa"/>
              <w:start w:w="120" w:type="dxa"/>
              <w:bottom w:w="80" w:type="dxa"/>
              <w:end w:w="120" w:type="dxa"/>
            </w:tcMar>
          </w:tcPr>
          <w:p>
            <w:pPr>
              <w:spacing w:after="0"/>
            </w:pPr>
            <w:r>
              <w:rPr>
                <w:b/>
                <w:color w:val="8A5F00"/>
              </w:rPr>
              <w:t xml:space="preserve">Nota de lectura: </w:t>
            </w:r>
            <w:r>
              <w:rPr>
                <w:color w:val="6E5821"/>
              </w:rPr>
              <w:t>Este control forma parte del bloque de planeación del riesgo dentro del SGSI.</w:t>
            </w:r>
          </w:p>
        </w:tc>
      </w:tr>
    </w:tbl>
    <w:p>
      <w:pPr>
        <w:spacing w:before="0" w:after="40" w:line="276" w:lineRule="auto"/>
      </w:pPr>
    </w:p>
    <w:p>
      <w:pPr>
        <w:pStyle w:val="Heading2"/>
        <w:spacing w:before="200" w:after="60" w:line="276" w:lineRule="auto"/>
      </w:pPr>
      <w:r>
        <w:rPr>
          <w:b w:val="0"/>
        </w:rPr>
        <w:t>6.2 Alcanzando los objetivos y planes de seguridad de la información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268"/>
        <w:gridCol w:w="2494"/>
        <w:gridCol w:w="4762"/>
      </w:tblGrid>
      <w:tr>
        <w:tc>
          <w:tcPr>
            <w:tcW w:type="dxa" w:w="3289"/>
            <w:shd w:fill="F2F6F9"/>
            <w:tcMar>
              <w:top w:w="90" w:type="dxa"/>
              <w:start w:w="100" w:type="dxa"/>
              <w:bottom w:w="90" w:type="dxa"/>
              <w:end w:w="100" w:type="dxa"/>
            </w:tcMar>
            <w:vAlign w:val="center"/>
          </w:tcPr>
          <w:p>
            <w:pPr>
              <w:jc w:val="center"/>
            </w:pPr>
            <w:r>
              <w:rPr>
                <w:color w:val="5D646A"/>
                <w:sz w:val="17"/>
              </w:rPr>
              <w:t>Estado</w:t>
              <w:br/>
            </w:r>
            <w:r>
              <w:rPr>
                <w:b/>
                <w:color w:val="184A6B"/>
                <w:sz w:val="21"/>
              </w:rPr>
              <w:t>Cumple</w:t>
            </w:r>
          </w:p>
        </w:tc>
        <w:tc>
          <w:tcPr>
            <w:tcW w:type="dxa" w:w="3289"/>
            <w:shd w:fill="F2F6F9"/>
            <w:tcMar>
              <w:top w:w="90" w:type="dxa"/>
              <w:start w:w="100" w:type="dxa"/>
              <w:bottom w:w="90" w:type="dxa"/>
              <w:end w:w="100" w:type="dxa"/>
            </w:tcMar>
            <w:vAlign w:val="center"/>
          </w:tcPr>
          <w:p>
            <w:pPr>
              <w:jc w:val="center"/>
            </w:pPr>
            <w:r>
              <w:rPr>
                <w:color w:val="5D646A"/>
                <w:sz w:val="17"/>
              </w:rPr>
              <w:t>Cobertura</w:t>
              <w:br/>
            </w:r>
            <w:r>
              <w:rPr>
                <w:b/>
                <w:color w:val="184A6B"/>
                <w:sz w:val="21"/>
              </w:rPr>
              <w:t>4/4</w:t>
            </w:r>
          </w:p>
        </w:tc>
        <w:tc>
          <w:tcPr>
            <w:tcW w:type="dxa" w:w="3289"/>
            <w:shd w:fill="F2F6F9"/>
            <w:tcMar>
              <w:top w:w="90" w:type="dxa"/>
              <w:start w:w="100" w:type="dxa"/>
              <w:bottom w:w="90" w:type="dxa"/>
              <w:end w:w="100" w:type="dxa"/>
            </w:tcMar>
            <w:vAlign w:val="center"/>
          </w:tcPr>
          <w:p>
            <w:pPr>
              <w:jc w:val="center"/>
            </w:pPr>
            <w:r>
              <w:rPr>
                <w:color w:val="5D646A"/>
                <w:sz w:val="17"/>
              </w:rPr>
              <w:t>Tipo</w:t>
              <w:br/>
            </w:r>
            <w:r>
              <w:rPr>
                <w:b/>
                <w:color w:val="184A6B"/>
                <w:sz w:val="21"/>
              </w:rPr>
              <w:t>Planificación / riesgo</w:t>
            </w:r>
          </w:p>
        </w:tc>
      </w:tr>
    </w:tbl>
    <w:p>
      <w:pPr>
        <w:spacing w:before="0" w:after="20" w:line="276" w:lineRule="auto"/>
      </w:pPr>
    </w:p>
    <w:p>
      <w:pPr>
        <w:pStyle w:val="Heading3"/>
        <w:spacing w:before="20" w:after="20" w:line="276" w:lineRule="auto"/>
      </w:pPr>
      <w:r>
        <w:rPr>
          <w:b w:val="0"/>
        </w:rPr>
        <w:t>Descripción del control</w:t>
      </w:r>
    </w:p>
    <w:p>
      <w:pPr>
        <w:spacing w:before="0" w:after="100" w:line="288" w:lineRule="auto"/>
      </w:pPr>
      <w:r>
        <w:rPr>
          <w:b w:val="0"/>
        </w:rPr>
        <w:t>La organización debe establecer los objetivos de seguridad de la información en funciones y niveles pertinentes. Los objetivos de seguridad de la información deben: a) ser consistentes con la política de seguridad de la información; b) ser medibles (si es práctico); c) tener en cuenta los requisitos de seguridad de la información aplicables y los resultados de la valoración del riesgo y del tratamiento del riesgo; d) ser monitoreados; e) ser comunicados; f) estar actualizados según corresponda g) estar disponibles como información documentada. La organización debe conservar información documentada sobre los objetivos de seguridad de la información. Cuando se planee cómo alcanzar sus objetivos de seguridad de la información, la organización debe determinar: h) qué se va a hacer; i) qué recursos son requeridos; j) quién es el responsable; k) cuando se va a terminar; y l) como se evalúan los resultados.</w:t>
      </w:r>
    </w:p>
    <w:p>
      <w:pPr>
        <w:pStyle w:val="Heading3"/>
        <w:spacing w:before="20" w:after="40" w:line="276" w:lineRule="auto"/>
      </w:pPr>
      <w:r>
        <w:rPr>
          <w:b w:val="0"/>
        </w:rPr>
        <w:t>Evidencias identificadas</w:t>
      </w:r>
    </w:p>
    <w:p>
      <w:pPr>
        <w:pStyle w:val="ListBullet"/>
        <w:spacing w:after="40" w:line="269" w:lineRule="auto"/>
        <w:ind w:left="227"/>
      </w:pPr>
      <w:r>
        <w:t>Documento final de la Política de SGSI</w:t>
      </w:r>
    </w:p>
    <w:p>
      <w:pPr>
        <w:pStyle w:val="ListBullet"/>
        <w:spacing w:after="40" w:line="269" w:lineRule="auto"/>
        <w:ind w:left="227"/>
      </w:pPr>
      <w:r>
        <w:t>Evidencia de comunicación de la Política de SGSI</w:t>
      </w:r>
    </w:p>
    <w:p>
      <w:pPr>
        <w:pStyle w:val="ListBullet"/>
        <w:spacing w:after="40" w:line="269" w:lineRule="auto"/>
        <w:ind w:left="227"/>
      </w:pPr>
      <w:r>
        <w:t>Documento final de la Metodología de Indicadores de Seguridad</w:t>
      </w:r>
    </w:p>
    <w:p>
      <w:pPr>
        <w:pStyle w:val="ListBullet"/>
        <w:spacing w:after="40" w:line="269" w:lineRule="auto"/>
        <w:ind w:left="227"/>
      </w:pPr>
      <w:r>
        <w:t>Documento final del Listado de Métricas e Indicadores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FF8E8"/>
            <w:tcMar>
              <w:top w:w="80" w:type="dxa"/>
              <w:start w:w="120" w:type="dxa"/>
              <w:bottom w:w="80" w:type="dxa"/>
              <w:end w:w="120" w:type="dxa"/>
            </w:tcMar>
          </w:tcPr>
          <w:p>
            <w:pPr>
              <w:spacing w:after="0"/>
            </w:pPr>
            <w:r>
              <w:rPr>
                <w:b/>
                <w:color w:val="8A5F00"/>
              </w:rPr>
              <w:t xml:space="preserve">Nota de lectura: </w:t>
            </w:r>
            <w:r>
              <w:rPr>
                <w:color w:val="6E5821"/>
              </w:rPr>
              <w:t>Este control vincula la planeación con objetivos medibles y su seguimiento.</w:t>
            </w:r>
          </w:p>
        </w:tc>
      </w:tr>
    </w:tbl>
    <w:p>
      <w:pPr>
        <w:spacing w:before="0" w:after="40" w:line="276" w:lineRule="auto"/>
      </w:pPr>
    </w:p>
    <w:p>
      <w:pPr>
        <w:pStyle w:val="Heading2"/>
        <w:spacing w:before="200" w:after="60" w:line="276" w:lineRule="auto"/>
      </w:pPr>
      <w:r>
        <w:rPr>
          <w:b w:val="0"/>
        </w:rPr>
        <w:t>6.3 Planificación de cambios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268"/>
        <w:gridCol w:w="2494"/>
        <w:gridCol w:w="4762"/>
      </w:tblGrid>
      <w:tr>
        <w:tc>
          <w:tcPr>
            <w:tcW w:type="dxa" w:w="3289"/>
            <w:shd w:fill="F2F6F9"/>
            <w:tcMar>
              <w:top w:w="90" w:type="dxa"/>
              <w:start w:w="100" w:type="dxa"/>
              <w:bottom w:w="90" w:type="dxa"/>
              <w:end w:w="100" w:type="dxa"/>
            </w:tcMar>
            <w:vAlign w:val="center"/>
          </w:tcPr>
          <w:p>
            <w:pPr>
              <w:jc w:val="center"/>
            </w:pPr>
            <w:r>
              <w:rPr>
                <w:color w:val="5D646A"/>
                <w:sz w:val="17"/>
              </w:rPr>
              <w:t>Estado</w:t>
              <w:br/>
            </w:r>
            <w:r>
              <w:rPr>
                <w:b/>
                <w:color w:val="184A6B"/>
                <w:sz w:val="21"/>
              </w:rPr>
              <w:t>Cumple</w:t>
            </w:r>
          </w:p>
        </w:tc>
        <w:tc>
          <w:tcPr>
            <w:tcW w:type="dxa" w:w="3289"/>
            <w:shd w:fill="F2F6F9"/>
            <w:tcMar>
              <w:top w:w="90" w:type="dxa"/>
              <w:start w:w="100" w:type="dxa"/>
              <w:bottom w:w="90" w:type="dxa"/>
              <w:end w:w="100" w:type="dxa"/>
            </w:tcMar>
            <w:vAlign w:val="center"/>
          </w:tcPr>
          <w:p>
            <w:pPr>
              <w:jc w:val="center"/>
            </w:pPr>
            <w:r>
              <w:rPr>
                <w:color w:val="5D646A"/>
                <w:sz w:val="17"/>
              </w:rPr>
              <w:t>Cobertura</w:t>
              <w:br/>
            </w:r>
            <w:r>
              <w:rPr>
                <w:b/>
                <w:color w:val="184A6B"/>
                <w:sz w:val="21"/>
              </w:rPr>
              <w:t>2/2</w:t>
            </w:r>
          </w:p>
        </w:tc>
        <w:tc>
          <w:tcPr>
            <w:tcW w:type="dxa" w:w="3289"/>
            <w:shd w:fill="F2F6F9"/>
            <w:tcMar>
              <w:top w:w="90" w:type="dxa"/>
              <w:start w:w="100" w:type="dxa"/>
              <w:bottom w:w="90" w:type="dxa"/>
              <w:end w:w="100" w:type="dxa"/>
            </w:tcMar>
            <w:vAlign w:val="center"/>
          </w:tcPr>
          <w:p>
            <w:pPr>
              <w:jc w:val="center"/>
            </w:pPr>
            <w:r>
              <w:rPr>
                <w:color w:val="5D646A"/>
                <w:sz w:val="17"/>
              </w:rPr>
              <w:t>Tipo</w:t>
              <w:br/>
            </w:r>
            <w:r>
              <w:rPr>
                <w:b/>
                <w:color w:val="184A6B"/>
                <w:sz w:val="21"/>
              </w:rPr>
              <w:t>Planificación / riesgo</w:t>
            </w:r>
          </w:p>
        </w:tc>
      </w:tr>
    </w:tbl>
    <w:p>
      <w:pPr>
        <w:spacing w:before="0" w:after="20" w:line="276" w:lineRule="auto"/>
      </w:pPr>
    </w:p>
    <w:p>
      <w:pPr>
        <w:pStyle w:val="Heading3"/>
        <w:spacing w:before="20" w:after="20" w:line="276" w:lineRule="auto"/>
      </w:pPr>
      <w:r>
        <w:rPr>
          <w:b w:val="0"/>
        </w:rPr>
        <w:t>Descripción del control</w:t>
      </w:r>
    </w:p>
    <w:p>
      <w:pPr>
        <w:spacing w:before="0" w:after="100" w:line="288" w:lineRule="auto"/>
      </w:pPr>
      <w:r>
        <w:rPr>
          <w:b w:val="0"/>
        </w:rPr>
        <w:t>Cuando la organización determine como necesarios cambios en el sistema de gestión de seguridad de la información, estos cambios deben llevarse a cabo de manera planificada.</w:t>
      </w:r>
    </w:p>
    <w:p>
      <w:pPr>
        <w:pStyle w:val="Heading3"/>
        <w:spacing w:before="20" w:after="40" w:line="276" w:lineRule="auto"/>
      </w:pPr>
      <w:r>
        <w:rPr>
          <w:b w:val="0"/>
        </w:rPr>
        <w:t>Evidencias identificadas</w:t>
      </w:r>
    </w:p>
    <w:p>
      <w:pPr>
        <w:pStyle w:val="ListBullet"/>
        <w:spacing w:after="40" w:line="269" w:lineRule="auto"/>
        <w:ind w:left="227"/>
      </w:pPr>
      <w:r>
        <w:t>Documento final de la Política de SGSI</w:t>
      </w:r>
    </w:p>
    <w:p>
      <w:pPr>
        <w:pStyle w:val="ListBullet"/>
        <w:spacing w:after="40" w:line="269" w:lineRule="auto"/>
        <w:ind w:left="227"/>
      </w:pPr>
      <w:r>
        <w:t>Documento final de la Política de Tecnología y Operaciones de TI</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9524"/>
      </w:tblGrid>
      <w:tr>
        <w:tc>
          <w:tcPr>
            <w:tcW w:type="dxa" w:w="9866"/>
            <w:shd w:fill="FFF8E8"/>
            <w:tcMar>
              <w:top w:w="80" w:type="dxa"/>
              <w:start w:w="120" w:type="dxa"/>
              <w:bottom w:w="80" w:type="dxa"/>
              <w:end w:w="120" w:type="dxa"/>
            </w:tcMar>
          </w:tcPr>
          <w:p>
            <w:pPr>
              <w:spacing w:after="0"/>
            </w:pPr>
            <w:r>
              <w:rPr>
                <w:b/>
                <w:color w:val="8A5F00"/>
              </w:rPr>
              <w:t xml:space="preserve">Nota de lectura: </w:t>
            </w:r>
            <w:r>
              <w:rPr>
                <w:color w:val="6E5821"/>
              </w:rPr>
              <w:t>Este control se orienta a la gestión planificada de cambios en el SGSI.</w:t>
            </w:r>
          </w:p>
        </w:tc>
      </w:tr>
    </w:tbl>
    <w:p>
      <w:pPr>
        <w:pStyle w:val="Heading1"/>
        <w:spacing w:before="0" w:after="100" w:line="276" w:lineRule="auto"/>
      </w:pPr>
      <w:r>
        <w:rPr>
          <w:b w:val="0"/>
        </w:rPr>
        <w:t>3. Observaciones de depuración del extracto</w:t>
      </w:r>
    </w:p>
    <w:p>
      <w:pPr>
        <w:pStyle w:val="ListBullet"/>
        <w:spacing w:after="40" w:line="269" w:lineRule="auto"/>
        <w:ind w:left="227"/>
      </w:pPr>
      <w:r>
        <w:t>El archivo fuente presenta duplicados de navegación, como títulos resumidos y títulos completos del mismo control.</w:t>
      </w:r>
    </w:p>
    <w:p>
      <w:pPr>
        <w:pStyle w:val="ListBullet"/>
        <w:spacing w:after="40" w:line="269" w:lineRule="auto"/>
        <w:ind w:left="227"/>
      </w:pPr>
      <w:r>
        <w:t>Para esta versión se consolidaron únicamente los controles únicos con código 6.1.1, 6.1.2, 6.1.3, 6.2 y 6.3.</w:t>
      </w:r>
    </w:p>
    <w:p>
      <w:pPr>
        <w:pStyle w:val="ListBullet"/>
        <w:spacing w:after="40" w:line="269" w:lineRule="auto"/>
        <w:ind w:left="227"/>
      </w:pPr>
      <w:r>
        <w:t>La redacción se conservó sustancialmente igual al texto extraído, corrigiendo solo la presentación y la agrupación visual.</w:t>
      </w:r>
    </w:p>
    <w:sectPr w:rsidR="00FC693F" w:rsidRPr="0006063C" w:rsidSect="00034616">
      <w:footerReference w:type="default" r:id="rId9"/>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Requisito 6 - Planificación del SGSI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4A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54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4A6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7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