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tbl>
      <w:tblPr>
        <w:tblW w:type="auto" w:w="0"/>
        <w:jc w:val="center"/>
        <w:tblLayout w:type="fixed"/>
        <w:tblLook w:firstColumn="1" w:firstRow="1" w:lastColumn="0" w:lastRow="0" w:noHBand="0" w:noVBand="1" w:val="04A0"/>
      </w:tblPr>
      <w:tblGrid>
        <w:gridCol w:w="9866"/>
      </w:tblGrid>
      <w:tr>
        <w:tc>
          <w:tcPr>
            <w:tcW w:type="dxa" w:w="9638"/>
            <w:shd w:fill="163A5F"/>
            <w:tcMar>
              <w:top w:w="220" w:type="dxa"/>
              <w:start w:w="200" w:type="dxa"/>
              <w:bottom w:w="220" w:type="dxa"/>
              <w:end w:w="200" w:type="dxa"/>
            </w:tcMar>
            <w:tcBorders>
              <w:left w:val="single" w:sz="0" w:color="163A5F"/>
              <w:right w:val="single" w:sz="0" w:color="163A5F"/>
              <w:top w:val="single" w:sz="0" w:color="163A5F"/>
              <w:bottom w:val="single" w:sz="0" w:color="163A5F"/>
            </w:tcBorders>
          </w:tcPr>
          <w:p>
            <w:pPr>
              <w:jc w:val="center"/>
            </w:pPr>
            <w:r>
              <w:rPr>
                <w:rFonts w:ascii="Aptos" w:hAnsi="Aptos" w:eastAsia="Aptos"/>
                <w:b/>
                <w:color w:val="FFFFFF"/>
                <w:sz w:val="48"/>
              </w:rPr>
              <w:t>REQUISITO 8</w:t>
            </w:r>
          </w:p>
          <w:p>
            <w:pPr>
              <w:jc w:val="center"/>
            </w:pPr>
            <w:r>
              <w:rPr>
                <w:rFonts w:ascii="Aptos" w:hAnsi="Aptos" w:eastAsia="Aptos"/>
                <w:b w:val="0"/>
                <w:color w:val="D8E7F5"/>
                <w:sz w:val="30"/>
              </w:rPr>
              <w:t>Operación del SGSI</w:t>
            </w:r>
          </w:p>
        </w:tc>
      </w:tr>
    </w:tbl>
    <w:p/>
    <w:tbl>
      <w:tblPr>
        <w:tblW w:type="auto" w:w="0"/>
        <w:jc w:val="center"/>
        <w:tblLayout w:type="fixed"/>
        <w:tblLook w:firstColumn="1" w:firstRow="1" w:lastColumn="0" w:lastRow="0" w:noHBand="0" w:noVBand="1" w:val="04A0"/>
      </w:tblPr>
      <w:tblGrid>
        <w:gridCol w:w="4933"/>
        <w:gridCol w:w="4933"/>
      </w:tblGrid>
      <w:tr>
        <w:tc>
          <w:tcPr>
            <w:tcW w:type="dxa" w:w="2381"/>
            <w:tcMar>
              <w:top w:w="80" w:type="dxa"/>
              <w:start w:w="100" w:type="dxa"/>
              <w:bottom w:w="80" w:type="dxa"/>
              <w:end w:w="100" w:type="dxa"/>
            </w:tcMar>
            <w:tcBorders>
              <w:left w:val="single" w:sz="4" w:color="D9E5F0"/>
              <w:top w:val="single" w:sz="4" w:color="D9E5F0"/>
              <w:right w:val="single" w:sz="4" w:color="D9E5F0"/>
              <w:bottom w:val="single" w:sz="4" w:color="D9E5F0"/>
            </w:tcBorders>
            <w:shd w:fill="EDF3F8"/>
          </w:tcPr>
          <w:p>
            <w:pPr>
              <w:jc w:val="left"/>
            </w:pPr>
            <w:r>
              <w:rPr>
                <w:rFonts w:ascii="Aptos" w:hAnsi="Aptos" w:eastAsia="Aptos"/>
                <w:b/>
                <w:color w:val="163A5F"/>
                <w:sz w:val="20"/>
              </w:rPr>
              <w:t>Fuente</w:t>
            </w:r>
          </w:p>
        </w:tc>
        <w:tc>
          <w:tcPr>
            <w:tcW w:type="dxa" w:w="6690"/>
            <w:tcMar>
              <w:top w:w="80" w:type="dxa"/>
              <w:start w:w="100" w:type="dxa"/>
              <w:bottom w:w="80" w:type="dxa"/>
              <w:end w:w="100" w:type="dxa"/>
            </w:tcMar>
            <w:tcBorders>
              <w:left w:val="single" w:sz="4" w:color="D9E5F0"/>
              <w:top w:val="single" w:sz="4" w:color="D9E5F0"/>
              <w:right w:val="single" w:sz="4" w:color="D9E5F0"/>
              <w:bottom w:val="single" w:sz="4" w:color="D9E5F0"/>
            </w:tcBorders>
          </w:tcPr>
          <w:p>
            <w:r>
              <w:rPr>
                <w:rFonts w:ascii="Aptos" w:hAnsi="Aptos" w:eastAsia="Aptos"/>
                <w:b w:val="0"/>
                <w:color w:val="263238"/>
                <w:sz w:val="21"/>
              </w:rPr>
              <w:t>Extracto depurado del requisito 8</w:t>
            </w:r>
          </w:p>
        </w:tc>
      </w:tr>
      <w:tr>
        <w:tc>
          <w:tcPr>
            <w:tcW w:type="dxa" w:w="2381"/>
            <w:tcMar>
              <w:top w:w="80" w:type="dxa"/>
              <w:start w:w="100" w:type="dxa"/>
              <w:bottom w:w="80" w:type="dxa"/>
              <w:end w:w="100" w:type="dxa"/>
            </w:tcMar>
            <w:tcBorders>
              <w:left w:val="single" w:sz="4" w:color="D9E5F0"/>
              <w:top w:val="single" w:sz="4" w:color="D9E5F0"/>
              <w:right w:val="single" w:sz="4" w:color="D9E5F0"/>
              <w:bottom w:val="single" w:sz="4" w:color="D9E5F0"/>
            </w:tcBorders>
            <w:shd w:fill="EDF3F8"/>
          </w:tcPr>
          <w:p>
            <w:pPr>
              <w:jc w:val="left"/>
            </w:pPr>
            <w:r>
              <w:rPr>
                <w:rFonts w:ascii="Aptos" w:hAnsi="Aptos" w:eastAsia="Aptos"/>
                <w:b/>
                <w:color w:val="163A5F"/>
                <w:sz w:val="20"/>
              </w:rPr>
              <w:t>Estatus consolidado</w:t>
            </w:r>
          </w:p>
        </w:tc>
        <w:tc>
          <w:tcPr>
            <w:tcW w:type="dxa" w:w="6690"/>
            <w:tcMar>
              <w:top w:w="80" w:type="dxa"/>
              <w:start w:w="100" w:type="dxa"/>
              <w:bottom w:w="80" w:type="dxa"/>
              <w:end w:w="100" w:type="dxa"/>
            </w:tcMar>
            <w:tcBorders>
              <w:left w:val="single" w:sz="4" w:color="D9E5F0"/>
              <w:top w:val="single" w:sz="4" w:color="D9E5F0"/>
              <w:right w:val="single" w:sz="4" w:color="D9E5F0"/>
              <w:bottom w:val="single" w:sz="4" w:color="D9E5F0"/>
            </w:tcBorders>
          </w:tcPr>
          <w:p>
            <w:r>
              <w:rPr>
                <w:rFonts w:ascii="Aptos" w:hAnsi="Aptos" w:eastAsia="Aptos"/>
                <w:b w:val="0"/>
                <w:color w:val="263238"/>
                <w:sz w:val="21"/>
              </w:rPr>
              <w:t>3 controles con evidencia referenciada</w:t>
            </w:r>
          </w:p>
        </w:tc>
      </w:tr>
      <w:tr>
        <w:tc>
          <w:tcPr>
            <w:tcW w:type="dxa" w:w="2381"/>
            <w:tcMar>
              <w:top w:w="80" w:type="dxa"/>
              <w:start w:w="100" w:type="dxa"/>
              <w:bottom w:w="80" w:type="dxa"/>
              <w:end w:w="100" w:type="dxa"/>
            </w:tcMar>
            <w:tcBorders>
              <w:left w:val="single" w:sz="4" w:color="D9E5F0"/>
              <w:top w:val="single" w:sz="4" w:color="D9E5F0"/>
              <w:right w:val="single" w:sz="4" w:color="D9E5F0"/>
              <w:bottom w:val="single" w:sz="4" w:color="D9E5F0"/>
            </w:tcBorders>
            <w:shd w:fill="EDF3F8"/>
          </w:tcPr>
          <w:p>
            <w:pPr>
              <w:jc w:val="left"/>
            </w:pPr>
            <w:r>
              <w:rPr>
                <w:rFonts w:ascii="Aptos" w:hAnsi="Aptos" w:eastAsia="Aptos"/>
                <w:b/>
                <w:color w:val="163A5F"/>
                <w:sz w:val="20"/>
              </w:rPr>
              <w:t>Alcance del extracto</w:t>
            </w:r>
          </w:p>
        </w:tc>
        <w:tc>
          <w:tcPr>
            <w:tcW w:type="dxa" w:w="6690"/>
            <w:tcMar>
              <w:top w:w="80" w:type="dxa"/>
              <w:start w:w="100" w:type="dxa"/>
              <w:bottom w:w="80" w:type="dxa"/>
              <w:end w:w="100" w:type="dxa"/>
            </w:tcMar>
            <w:tcBorders>
              <w:left w:val="single" w:sz="4" w:color="D9E5F0"/>
              <w:top w:val="single" w:sz="4" w:color="D9E5F0"/>
              <w:right w:val="single" w:sz="4" w:color="D9E5F0"/>
              <w:bottom w:val="single" w:sz="4" w:color="D9E5F0"/>
            </w:tcBorders>
          </w:tcPr>
          <w:p>
            <w:r>
              <w:rPr>
                <w:rFonts w:ascii="Aptos" w:hAnsi="Aptos" w:eastAsia="Aptos"/>
                <w:b w:val="0"/>
                <w:color w:val="263238"/>
                <w:sz w:val="21"/>
              </w:rPr>
              <w:t>8.1, 8.2 y 8.3</w:t>
            </w:r>
          </w:p>
        </w:tc>
      </w:tr>
    </w:tbl>
    <w:p/>
    <w:p>
      <w:pPr>
        <w:jc w:val="center"/>
      </w:pPr>
      <w:r>
        <w:rPr>
          <w:rFonts w:ascii="Aptos" w:hAnsi="Aptos" w:eastAsia="Aptos"/>
          <w:b w:val="0"/>
          <w:color w:val="2D5B88"/>
          <w:sz w:val="21"/>
        </w:rPr>
        <w:t>Documento consolidado y presentado por secciones a partir del contenido extraído. Se eliminaron duplicados de visualización para conservar una sola versión por control.</w:t>
      </w:r>
    </w:p>
    <w:p>
      <w:r>
        <w:br w:type="page"/>
      </w:r>
    </w:p>
    <w:p>
      <w:r>
        <w:rPr>
          <w:rFonts w:ascii="Aptos" w:hAnsi="Aptos" w:eastAsia="Aptos"/>
          <w:b/>
          <w:color w:val="163A5F"/>
          <w:sz w:val="36"/>
        </w:rPr>
        <w:t>Resumen ejecutivo</w:t>
      </w:r>
    </w:p>
    <w:p>
      <w:pPr>
        <w:spacing w:after="160"/>
      </w:pPr>
      <w:r>
        <w:rPr>
          <w:rFonts w:ascii="Aptos" w:hAnsi="Aptos" w:eastAsia="Aptos"/>
          <w:b w:val="0"/>
          <w:color w:val="263238"/>
          <w:sz w:val="21"/>
        </w:rPr>
        <w:t>El extracto del requisito 8 concentra la operación del SGSI en tres frentes: control y planeación operacional, evaluación de riesgos y tratamiento de riesgos. El material extraído muestra cumplimiento referenciado y evidencia documental asociada para cada punto.</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134"/>
            <w:shd w:fill="163A5F"/>
            <w:tcMar>
              <w:top w:w="90" w:type="dxa"/>
              <w:start w:w="110" w:type="dxa"/>
              <w:bottom w:w="90" w:type="dxa"/>
              <w:end w:w="110" w:type="dxa"/>
            </w:tcMar>
            <w:tcBorders>
              <w:left w:val="single" w:sz="6" w:color="B7C9D9"/>
              <w:top w:val="single" w:sz="6" w:color="B7C9D9"/>
              <w:right w:val="single" w:sz="6" w:color="B7C9D9"/>
              <w:bottom w:val="single" w:sz="6" w:color="B7C9D9"/>
            </w:tcBorders>
          </w:tcPr>
          <w:p>
            <w:pPr>
              <w:jc w:val="center"/>
            </w:pPr>
            <w:r>
              <w:rPr>
                <w:rFonts w:ascii="Aptos" w:hAnsi="Aptos" w:eastAsia="Aptos"/>
                <w:b/>
                <w:color w:val="FFFFFF"/>
                <w:sz w:val="20"/>
              </w:rPr>
              <w:t>ID</w:t>
            </w:r>
          </w:p>
        </w:tc>
        <w:tc>
          <w:tcPr>
            <w:tcW w:type="dxa" w:w="4649"/>
            <w:shd w:fill="163A5F"/>
            <w:tcMar>
              <w:top w:w="90" w:type="dxa"/>
              <w:start w:w="110" w:type="dxa"/>
              <w:bottom w:w="90" w:type="dxa"/>
              <w:end w:w="110" w:type="dxa"/>
            </w:tcMar>
            <w:tcBorders>
              <w:left w:val="single" w:sz="6" w:color="B7C9D9"/>
              <w:top w:val="single" w:sz="6" w:color="B7C9D9"/>
              <w:right w:val="single" w:sz="6" w:color="B7C9D9"/>
              <w:bottom w:val="single" w:sz="6" w:color="B7C9D9"/>
            </w:tcBorders>
          </w:tcPr>
          <w:p>
            <w:pPr>
              <w:jc w:val="center"/>
            </w:pPr>
            <w:r>
              <w:rPr>
                <w:rFonts w:ascii="Aptos" w:hAnsi="Aptos" w:eastAsia="Aptos"/>
                <w:b/>
                <w:color w:val="FFFFFF"/>
                <w:sz w:val="20"/>
              </w:rPr>
              <w:t>Control</w:t>
            </w:r>
          </w:p>
        </w:tc>
        <w:tc>
          <w:tcPr>
            <w:tcW w:type="dxa" w:w="1474"/>
            <w:shd w:fill="163A5F"/>
            <w:tcMar>
              <w:top w:w="90" w:type="dxa"/>
              <w:start w:w="110" w:type="dxa"/>
              <w:bottom w:w="90" w:type="dxa"/>
              <w:end w:w="110" w:type="dxa"/>
            </w:tcMar>
            <w:tcBorders>
              <w:left w:val="single" w:sz="6" w:color="B7C9D9"/>
              <w:top w:val="single" w:sz="6" w:color="B7C9D9"/>
              <w:right w:val="single" w:sz="6" w:color="B7C9D9"/>
              <w:bottom w:val="single" w:sz="6" w:color="B7C9D9"/>
            </w:tcBorders>
          </w:tcPr>
          <w:p>
            <w:pPr>
              <w:jc w:val="center"/>
            </w:pPr>
            <w:r>
              <w:rPr>
                <w:rFonts w:ascii="Aptos" w:hAnsi="Aptos" w:eastAsia="Aptos"/>
                <w:b/>
                <w:color w:val="FFFFFF"/>
                <w:sz w:val="20"/>
              </w:rPr>
              <w:t>Estado</w:t>
            </w:r>
          </w:p>
        </w:tc>
        <w:tc>
          <w:tcPr>
            <w:tcW w:type="dxa" w:w="2494"/>
            <w:shd w:fill="163A5F"/>
            <w:tcMar>
              <w:top w:w="90" w:type="dxa"/>
              <w:start w:w="110" w:type="dxa"/>
              <w:bottom w:w="90" w:type="dxa"/>
              <w:end w:w="110" w:type="dxa"/>
            </w:tcMar>
            <w:tcBorders>
              <w:left w:val="single" w:sz="6" w:color="B7C9D9"/>
              <w:top w:val="single" w:sz="6" w:color="B7C9D9"/>
              <w:right w:val="single" w:sz="6" w:color="B7C9D9"/>
              <w:bottom w:val="single" w:sz="6" w:color="B7C9D9"/>
            </w:tcBorders>
          </w:tcPr>
          <w:p>
            <w:pPr>
              <w:jc w:val="center"/>
            </w:pPr>
            <w:r>
              <w:rPr>
                <w:rFonts w:ascii="Aptos" w:hAnsi="Aptos" w:eastAsia="Aptos"/>
                <w:b/>
                <w:color w:val="FFFFFF"/>
                <w:sz w:val="20"/>
              </w:rPr>
              <w:t>Evidencias</w:t>
            </w:r>
          </w:p>
        </w:tc>
      </w:tr>
      <w:tr>
        <w:tc>
          <w:tcPr>
            <w:tcW w:type="dxa" w:w="1134"/>
            <w:tcMar>
              <w:top w:w="100" w:type="dxa"/>
              <w:start w:w="110" w:type="dxa"/>
              <w:bottom w:w="100" w:type="dxa"/>
              <w:end w:w="110" w:type="dxa"/>
            </w:tcMar>
            <w:tcBorders>
              <w:left w:val="single" w:sz="6" w:color="D6E0E8"/>
              <w:top w:val="single" w:sz="6" w:color="D6E0E8"/>
              <w:right w:val="single" w:sz="6" w:color="D6E0E8"/>
              <w:bottom w:val="single" w:sz="6" w:color="D6E0E8"/>
            </w:tcBorders>
            <w:vAlign w:val="center"/>
          </w:tcPr>
          <w:p>
            <w:pPr>
              <w:jc w:val="center"/>
            </w:pPr>
            <w:r>
              <w:rPr>
                <w:rFonts w:ascii="Aptos" w:hAnsi="Aptos" w:eastAsia="Aptos"/>
                <w:b/>
                <w:color w:val="263238"/>
                <w:sz w:val="20"/>
              </w:rPr>
              <w:t>8.1</w:t>
            </w:r>
          </w:p>
        </w:tc>
        <w:tc>
          <w:tcPr>
            <w:tcW w:type="dxa" w:w="4649"/>
            <w:tcMar>
              <w:top w:w="100" w:type="dxa"/>
              <w:start w:w="110" w:type="dxa"/>
              <w:bottom w:w="100" w:type="dxa"/>
              <w:end w:w="110" w:type="dxa"/>
            </w:tcMar>
            <w:tcBorders>
              <w:left w:val="single" w:sz="6" w:color="D6E0E8"/>
              <w:top w:val="single" w:sz="6" w:color="D6E0E8"/>
              <w:right w:val="single" w:sz="6" w:color="D6E0E8"/>
              <w:bottom w:val="single" w:sz="6" w:color="D6E0E8"/>
            </w:tcBorders>
            <w:vAlign w:val="center"/>
          </w:tcPr>
          <w:p>
            <w:pPr>
              <w:jc w:val="left"/>
            </w:pPr>
            <w:r>
              <w:rPr>
                <w:rFonts w:ascii="Aptos" w:hAnsi="Aptos" w:eastAsia="Aptos"/>
                <w:b w:val="0"/>
                <w:color w:val="263238"/>
                <w:sz w:val="20"/>
              </w:rPr>
              <w:t>Control y planeación operacional</w:t>
            </w:r>
          </w:p>
        </w:tc>
        <w:tc>
          <w:tcPr>
            <w:tcW w:type="dxa" w:w="1474"/>
            <w:tcMar>
              <w:top w:w="100" w:type="dxa"/>
              <w:start w:w="110" w:type="dxa"/>
              <w:bottom w:w="100" w:type="dxa"/>
              <w:end w:w="110" w:type="dxa"/>
            </w:tcMar>
            <w:tcBorders>
              <w:left w:val="single" w:sz="6" w:color="D6E0E8"/>
              <w:top w:val="single" w:sz="6" w:color="D6E0E8"/>
              <w:right w:val="single" w:sz="6" w:color="D6E0E8"/>
              <w:bottom w:val="single" w:sz="6" w:color="D6E0E8"/>
            </w:tcBorders>
            <w:shd w:fill="EAF5EC"/>
            <w:vAlign w:val="center"/>
          </w:tcPr>
          <w:p>
            <w:pPr>
              <w:jc w:val="center"/>
            </w:pPr>
            <w:r>
              <w:rPr>
                <w:rFonts w:ascii="Aptos" w:hAnsi="Aptos" w:eastAsia="Aptos"/>
                <w:b w:val="0"/>
                <w:color w:val="2E7D32"/>
                <w:sz w:val="20"/>
              </w:rPr>
              <w:t>Cumple 5/5</w:t>
            </w:r>
          </w:p>
        </w:tc>
        <w:tc>
          <w:tcPr>
            <w:tcW w:type="dxa" w:w="2494"/>
            <w:tcMar>
              <w:top w:w="100" w:type="dxa"/>
              <w:start w:w="110" w:type="dxa"/>
              <w:bottom w:w="100" w:type="dxa"/>
              <w:end w:w="110" w:type="dxa"/>
            </w:tcMar>
            <w:tcBorders>
              <w:left w:val="single" w:sz="6" w:color="D6E0E8"/>
              <w:top w:val="single" w:sz="6" w:color="D6E0E8"/>
              <w:right w:val="single" w:sz="6" w:color="D6E0E8"/>
              <w:bottom w:val="single" w:sz="6" w:color="D6E0E8"/>
            </w:tcBorders>
            <w:vAlign w:val="center"/>
          </w:tcPr>
          <w:p>
            <w:pPr>
              <w:jc w:val="center"/>
            </w:pPr>
            <w:r>
              <w:rPr>
                <w:rFonts w:ascii="Aptos" w:hAnsi="Aptos" w:eastAsia="Aptos"/>
                <w:b w:val="0"/>
                <w:color w:val="263238"/>
                <w:sz w:val="20"/>
              </w:rPr>
              <w:t>5</w:t>
            </w:r>
          </w:p>
        </w:tc>
      </w:tr>
      <w:tr>
        <w:tc>
          <w:tcPr>
            <w:tcW w:type="dxa" w:w="1134"/>
            <w:tcMar>
              <w:top w:w="100" w:type="dxa"/>
              <w:start w:w="110" w:type="dxa"/>
              <w:bottom w:w="100" w:type="dxa"/>
              <w:end w:w="110" w:type="dxa"/>
            </w:tcMar>
            <w:tcBorders>
              <w:left w:val="single" w:sz="6" w:color="D6E0E8"/>
              <w:top w:val="single" w:sz="6" w:color="D6E0E8"/>
              <w:right w:val="single" w:sz="6" w:color="D6E0E8"/>
              <w:bottom w:val="single" w:sz="6" w:color="D6E0E8"/>
            </w:tcBorders>
            <w:vAlign w:val="center"/>
          </w:tcPr>
          <w:p>
            <w:pPr>
              <w:jc w:val="center"/>
            </w:pPr>
            <w:r>
              <w:rPr>
                <w:rFonts w:ascii="Aptos" w:hAnsi="Aptos" w:eastAsia="Aptos"/>
                <w:b/>
                <w:color w:val="263238"/>
                <w:sz w:val="20"/>
              </w:rPr>
              <w:t>8.2</w:t>
            </w:r>
          </w:p>
        </w:tc>
        <w:tc>
          <w:tcPr>
            <w:tcW w:type="dxa" w:w="4649"/>
            <w:tcMar>
              <w:top w:w="100" w:type="dxa"/>
              <w:start w:w="110" w:type="dxa"/>
              <w:bottom w:w="100" w:type="dxa"/>
              <w:end w:w="110" w:type="dxa"/>
            </w:tcMar>
            <w:tcBorders>
              <w:left w:val="single" w:sz="6" w:color="D6E0E8"/>
              <w:top w:val="single" w:sz="6" w:color="D6E0E8"/>
              <w:right w:val="single" w:sz="6" w:color="D6E0E8"/>
              <w:bottom w:val="single" w:sz="6" w:color="D6E0E8"/>
            </w:tcBorders>
            <w:vAlign w:val="center"/>
          </w:tcPr>
          <w:p>
            <w:pPr>
              <w:jc w:val="left"/>
            </w:pPr>
            <w:r>
              <w:rPr>
                <w:rFonts w:ascii="Aptos" w:hAnsi="Aptos" w:eastAsia="Aptos"/>
                <w:b w:val="0"/>
                <w:color w:val="263238"/>
                <w:sz w:val="20"/>
              </w:rPr>
              <w:t>Evaluación de riesgos de seguridad de la información</w:t>
            </w:r>
          </w:p>
        </w:tc>
        <w:tc>
          <w:tcPr>
            <w:tcW w:type="dxa" w:w="1474"/>
            <w:tcMar>
              <w:top w:w="100" w:type="dxa"/>
              <w:start w:w="110" w:type="dxa"/>
              <w:bottom w:w="100" w:type="dxa"/>
              <w:end w:w="110" w:type="dxa"/>
            </w:tcMar>
            <w:tcBorders>
              <w:left w:val="single" w:sz="6" w:color="D6E0E8"/>
              <w:top w:val="single" w:sz="6" w:color="D6E0E8"/>
              <w:right w:val="single" w:sz="6" w:color="D6E0E8"/>
              <w:bottom w:val="single" w:sz="6" w:color="D6E0E8"/>
            </w:tcBorders>
            <w:shd w:fill="EAF5EC"/>
            <w:vAlign w:val="center"/>
          </w:tcPr>
          <w:p>
            <w:pPr>
              <w:jc w:val="center"/>
            </w:pPr>
            <w:r>
              <w:rPr>
                <w:rFonts w:ascii="Aptos" w:hAnsi="Aptos" w:eastAsia="Aptos"/>
                <w:b w:val="0"/>
                <w:color w:val="2E7D32"/>
                <w:sz w:val="20"/>
              </w:rPr>
              <w:t>Cumple 3/3</w:t>
            </w:r>
          </w:p>
        </w:tc>
        <w:tc>
          <w:tcPr>
            <w:tcW w:type="dxa" w:w="2494"/>
            <w:tcMar>
              <w:top w:w="100" w:type="dxa"/>
              <w:start w:w="110" w:type="dxa"/>
              <w:bottom w:w="100" w:type="dxa"/>
              <w:end w:w="110" w:type="dxa"/>
            </w:tcMar>
            <w:tcBorders>
              <w:left w:val="single" w:sz="6" w:color="D6E0E8"/>
              <w:top w:val="single" w:sz="6" w:color="D6E0E8"/>
              <w:right w:val="single" w:sz="6" w:color="D6E0E8"/>
              <w:bottom w:val="single" w:sz="6" w:color="D6E0E8"/>
            </w:tcBorders>
            <w:vAlign w:val="center"/>
          </w:tcPr>
          <w:p>
            <w:pPr>
              <w:jc w:val="center"/>
            </w:pPr>
            <w:r>
              <w:rPr>
                <w:rFonts w:ascii="Aptos" w:hAnsi="Aptos" w:eastAsia="Aptos"/>
                <w:b w:val="0"/>
                <w:color w:val="263238"/>
                <w:sz w:val="20"/>
              </w:rPr>
              <w:t>3</w:t>
            </w:r>
          </w:p>
        </w:tc>
      </w:tr>
      <w:tr>
        <w:tc>
          <w:tcPr>
            <w:tcW w:type="dxa" w:w="1134"/>
            <w:tcMar>
              <w:top w:w="100" w:type="dxa"/>
              <w:start w:w="110" w:type="dxa"/>
              <w:bottom w:w="100" w:type="dxa"/>
              <w:end w:w="110" w:type="dxa"/>
            </w:tcMar>
            <w:tcBorders>
              <w:left w:val="single" w:sz="6" w:color="D6E0E8"/>
              <w:top w:val="single" w:sz="6" w:color="D6E0E8"/>
              <w:right w:val="single" w:sz="6" w:color="D6E0E8"/>
              <w:bottom w:val="single" w:sz="6" w:color="D6E0E8"/>
            </w:tcBorders>
            <w:vAlign w:val="center"/>
          </w:tcPr>
          <w:p>
            <w:pPr>
              <w:jc w:val="center"/>
            </w:pPr>
            <w:r>
              <w:rPr>
                <w:rFonts w:ascii="Aptos" w:hAnsi="Aptos" w:eastAsia="Aptos"/>
                <w:b/>
                <w:color w:val="263238"/>
                <w:sz w:val="20"/>
              </w:rPr>
              <w:t>8.3</w:t>
            </w:r>
          </w:p>
        </w:tc>
        <w:tc>
          <w:tcPr>
            <w:tcW w:type="dxa" w:w="4649"/>
            <w:tcMar>
              <w:top w:w="100" w:type="dxa"/>
              <w:start w:w="110" w:type="dxa"/>
              <w:bottom w:w="100" w:type="dxa"/>
              <w:end w:w="110" w:type="dxa"/>
            </w:tcMar>
            <w:tcBorders>
              <w:left w:val="single" w:sz="6" w:color="D6E0E8"/>
              <w:top w:val="single" w:sz="6" w:color="D6E0E8"/>
              <w:right w:val="single" w:sz="6" w:color="D6E0E8"/>
              <w:bottom w:val="single" w:sz="6" w:color="D6E0E8"/>
            </w:tcBorders>
            <w:vAlign w:val="center"/>
          </w:tcPr>
          <w:p>
            <w:pPr>
              <w:jc w:val="left"/>
            </w:pPr>
            <w:r>
              <w:rPr>
                <w:rFonts w:ascii="Aptos" w:hAnsi="Aptos" w:eastAsia="Aptos"/>
                <w:b w:val="0"/>
                <w:color w:val="263238"/>
                <w:sz w:val="20"/>
              </w:rPr>
              <w:t>Tratamiento de riesgos de seguridad de la información</w:t>
            </w:r>
          </w:p>
        </w:tc>
        <w:tc>
          <w:tcPr>
            <w:tcW w:type="dxa" w:w="1474"/>
            <w:tcMar>
              <w:top w:w="100" w:type="dxa"/>
              <w:start w:w="110" w:type="dxa"/>
              <w:bottom w:w="100" w:type="dxa"/>
              <w:end w:w="110" w:type="dxa"/>
            </w:tcMar>
            <w:tcBorders>
              <w:left w:val="single" w:sz="6" w:color="D6E0E8"/>
              <w:top w:val="single" w:sz="6" w:color="D6E0E8"/>
              <w:right w:val="single" w:sz="6" w:color="D6E0E8"/>
              <w:bottom w:val="single" w:sz="6" w:color="D6E0E8"/>
            </w:tcBorders>
            <w:shd w:fill="EAF5EC"/>
            <w:vAlign w:val="center"/>
          </w:tcPr>
          <w:p>
            <w:pPr>
              <w:jc w:val="center"/>
            </w:pPr>
            <w:r>
              <w:rPr>
                <w:rFonts w:ascii="Aptos" w:hAnsi="Aptos" w:eastAsia="Aptos"/>
                <w:b w:val="0"/>
                <w:color w:val="2E7D32"/>
                <w:sz w:val="20"/>
              </w:rPr>
              <w:t>Cumple 5/5</w:t>
            </w:r>
          </w:p>
        </w:tc>
        <w:tc>
          <w:tcPr>
            <w:tcW w:type="dxa" w:w="2494"/>
            <w:tcMar>
              <w:top w:w="100" w:type="dxa"/>
              <w:start w:w="110" w:type="dxa"/>
              <w:bottom w:w="100" w:type="dxa"/>
              <w:end w:w="110" w:type="dxa"/>
            </w:tcMar>
            <w:tcBorders>
              <w:left w:val="single" w:sz="6" w:color="D6E0E8"/>
              <w:top w:val="single" w:sz="6" w:color="D6E0E8"/>
              <w:right w:val="single" w:sz="6" w:color="D6E0E8"/>
              <w:bottom w:val="single" w:sz="6" w:color="D6E0E8"/>
            </w:tcBorders>
            <w:vAlign w:val="center"/>
          </w:tcPr>
          <w:p>
            <w:pPr>
              <w:jc w:val="center"/>
            </w:pPr>
            <w:r>
              <w:rPr>
                <w:rFonts w:ascii="Aptos" w:hAnsi="Aptos" w:eastAsia="Aptos"/>
                <w:b w:val="0"/>
                <w:color w:val="263238"/>
                <w:sz w:val="20"/>
              </w:rPr>
              <w:t>5</w:t>
            </w:r>
          </w:p>
        </w:tc>
      </w:tr>
    </w:tbl>
    <w:p/>
    <w:tbl>
      <w:tblPr>
        <w:tblW w:type="auto" w:w="0"/>
        <w:jc w:val="center"/>
        <w:tblLayout w:type="fixed"/>
        <w:tblLook w:firstColumn="1" w:firstRow="1" w:lastColumn="0" w:lastRow="0" w:noHBand="0" w:noVBand="1" w:val="04A0"/>
      </w:tblPr>
      <w:tblGrid>
        <w:gridCol w:w="9866"/>
      </w:tblGrid>
      <w:tr>
        <w:tc>
          <w:tcPr>
            <w:tcW w:type="dxa" w:w="9638"/>
            <w:shd w:fill="EDF3F8"/>
            <w:tcBorders>
              <w:left w:val="single" w:sz="8" w:color="2D5B88"/>
              <w:top w:val="single" w:sz="8" w:color="EDF3F8"/>
              <w:right w:val="single" w:sz="8" w:color="EDF3F8"/>
              <w:bottom w:val="single" w:sz="8" w:color="EDF3F8"/>
            </w:tcBorders>
            <w:tcMar>
              <w:top w:w="120" w:type="dxa"/>
              <w:start w:w="150" w:type="dxa"/>
              <w:bottom w:w="120" w:type="dxa"/>
              <w:end w:w="150" w:type="dxa"/>
            </w:tcMar>
          </w:tcPr>
          <w:p>
            <w:r>
              <w:rPr>
                <w:rFonts w:ascii="Aptos" w:hAnsi="Aptos" w:eastAsia="Aptos"/>
                <w:b/>
                <w:color w:val="163A5F"/>
                <w:sz w:val="20"/>
              </w:rPr>
              <w:t xml:space="preserve">Observación de depuración: </w:t>
            </w:r>
            <w:r>
              <w:rPr>
                <w:rFonts w:ascii="Aptos" w:hAnsi="Aptos" w:eastAsia="Aptos"/>
                <w:b w:val="0"/>
                <w:color w:val="263238"/>
                <w:sz w:val="20"/>
              </w:rPr>
              <w:t>el archivo fuente contenía bloques duplicados por encabezado corto y encabezado completo; en este documento se consolidó una sola ficha por cada control 8.x.</w:t>
            </w:r>
          </w:p>
        </w:tc>
      </w:tr>
    </w:tbl>
    <w:p>
      <w:r>
        <w:br w:type="page"/>
      </w:r>
    </w:p>
    <w:tbl>
      <w:tblPr>
        <w:tblW w:type="auto" w:w="0"/>
        <w:jc w:val="center"/>
        <w:tblLayout w:type="fixed"/>
        <w:tblLook w:firstColumn="1" w:firstRow="1" w:lastColumn="0" w:lastRow="0" w:noHBand="0" w:noVBand="1" w:val="04A0"/>
      </w:tblPr>
      <w:tblGrid>
        <w:gridCol w:w="7313"/>
        <w:gridCol w:w="2324"/>
      </w:tblGrid>
      <w:tr>
        <w:tc>
          <w:tcPr>
            <w:tcW w:type="dxa" w:w="7313"/>
            <w:tcMar>
              <w:top w:w="140" w:type="dxa"/>
              <w:start w:w="140" w:type="dxa"/>
              <w:bottom w:w="120" w:type="dxa"/>
              <w:end w:w="140" w:type="dxa"/>
            </w:tcMar>
            <w:tcBorders>
              <w:left w:val="single" w:sz="6" w:color="D6E0E8"/>
              <w:top w:val="single" w:sz="6" w:color="D6E0E8"/>
              <w:right w:val="single" w:sz="6" w:color="D6E0E8"/>
              <w:bottom w:val="single" w:sz="6" w:color="D6E0E8"/>
            </w:tcBorders>
            <w:shd w:fill="163A5F"/>
          </w:tcPr>
          <w:p>
            <w:r>
              <w:rPr>
                <w:rFonts w:ascii="Aptos" w:hAnsi="Aptos" w:eastAsia="Aptos"/>
                <w:b/>
                <w:color w:val="FFFFFF"/>
                <w:sz w:val="30"/>
              </w:rPr>
              <w:t>8.1  Control y planeación operacional</w:t>
            </w:r>
          </w:p>
        </w:tc>
        <w:tc>
          <w:tcPr>
            <w:tcW w:type="dxa" w:w="2324"/>
            <w:tcMar>
              <w:top w:w="140" w:type="dxa"/>
              <w:start w:w="140" w:type="dxa"/>
              <w:bottom w:w="120" w:type="dxa"/>
              <w:end w:w="140" w:type="dxa"/>
            </w:tcMar>
            <w:tcBorders>
              <w:left w:val="single" w:sz="6" w:color="D6E0E8"/>
              <w:top w:val="single" w:sz="6" w:color="D6E0E8"/>
              <w:right w:val="single" w:sz="6" w:color="D6E0E8"/>
              <w:bottom w:val="single" w:sz="6" w:color="D6E0E8"/>
            </w:tcBorders>
            <w:shd w:fill="EAF5EC"/>
          </w:tcPr>
          <w:p>
            <w:pPr>
              <w:jc w:val="center"/>
            </w:pPr>
            <w:r>
              <w:rPr>
                <w:rFonts w:ascii="Aptos" w:hAnsi="Aptos" w:eastAsia="Aptos"/>
                <w:b/>
                <w:color w:val="2E7D32"/>
                <w:sz w:val="22"/>
              </w:rPr>
              <w:t>CUMPLE 5/5</w:t>
            </w:r>
          </w:p>
        </w:tc>
      </w:tr>
    </w:tbl>
    <w:p/>
    <w:p>
      <w:r>
        <w:rPr>
          <w:rFonts w:ascii="Aptos" w:hAnsi="Aptos" w:eastAsia="Aptos"/>
          <w:b/>
          <w:color w:val="163A5F"/>
          <w:sz w:val="25"/>
        </w:rPr>
        <w:t>Descripción del control</w:t>
      </w:r>
    </w:p>
    <w:p>
      <w:pPr>
        <w:spacing w:after="160"/>
      </w:pPr>
      <w:r>
        <w:rPr>
          <w:rFonts w:ascii="Aptos" w:hAnsi="Aptos" w:eastAsia="Aptos"/>
          <w:b w:val="0"/>
          <w:color w:val="263238"/>
          <w:sz w:val="21"/>
        </w:rPr>
        <w:t>La organización debe planificar, implementar y controlar los procesos necesarios para cumplir con los requisitos e implementar las acciones determinadas en el capítulo 6 a través de:</w:t>
      </w:r>
    </w:p>
    <w:p>
      <w:pPr>
        <w:spacing w:after="40"/>
        <w:ind w:left="255"/>
      </w:pPr>
      <w:r>
        <w:rPr>
          <w:rFonts w:ascii="Aptos" w:hAnsi="Aptos" w:eastAsia="Aptos"/>
          <w:b w:val="0"/>
          <w:color w:val="263238"/>
          <w:sz w:val="21"/>
        </w:rPr>
        <w:t>• establecer criterios para los procesos;</w:t>
      </w:r>
    </w:p>
    <w:p>
      <w:pPr>
        <w:spacing w:after="40"/>
        <w:ind w:left="255"/>
      </w:pPr>
      <w:r>
        <w:rPr>
          <w:rFonts w:ascii="Aptos" w:hAnsi="Aptos" w:eastAsia="Aptos"/>
          <w:b w:val="0"/>
          <w:color w:val="263238"/>
          <w:sz w:val="21"/>
        </w:rPr>
        <w:t>• implementar el control de los procesos de acuerdo con los criterios. La información documentada debe estar disponible en la medida necesaria para tener confianza en que los procesos se han llevado a cabo según lo planeado. La organización debe controlar los cambios planificados y revisar las consecuencias de los cambios no deseados, tomando medidas para mitigar cualquier efecto adverso, según sea necesario. La organización debe garantizar que los procesos, productos o servicios proporcionados externamente que sean relevantes para el sistema de gestión de la seguridad de la información estén controlados.</w:t>
      </w:r>
    </w:p>
    <w:p>
      <w:r>
        <w:rPr>
          <w:rFonts w:ascii="Aptos" w:hAnsi="Aptos" w:eastAsia="Aptos"/>
          <w:b/>
          <w:color w:val="163A5F"/>
          <w:sz w:val="25"/>
        </w:rPr>
        <w:t>Evidencias asociadas</w:t>
      </w:r>
    </w:p>
    <w:tbl>
      <w:tblPr>
        <w:tblW w:type="auto" w:w="0"/>
        <w:jc w:val="center"/>
        <w:tblLayout w:type="fixed"/>
        <w:tblLook w:firstColumn="1" w:firstRow="1" w:lastColumn="0" w:lastRow="0" w:noHBand="0" w:noVBand="1" w:val="04A0"/>
      </w:tblPr>
      <w:tblGrid>
        <w:gridCol w:w="4933"/>
        <w:gridCol w:w="4933"/>
      </w:tblGrid>
      <w:tr>
        <w:tc>
          <w:tcPr>
            <w:tcW w:type="dxa" w:w="907"/>
            <w:shd w:fill="D9E5F0"/>
            <w:tcMar>
              <w:top w:w="90" w:type="dxa"/>
              <w:start w:w="110" w:type="dxa"/>
              <w:bottom w:w="90" w:type="dxa"/>
              <w:end w:w="110" w:type="dxa"/>
            </w:tcMar>
            <w:tcBorders>
              <w:left w:val="single" w:sz="6" w:color="C7D7E5"/>
              <w:top w:val="single" w:sz="6" w:color="C7D7E5"/>
              <w:right w:val="single" w:sz="6" w:color="C7D7E5"/>
              <w:bottom w:val="single" w:sz="6" w:color="C7D7E5"/>
            </w:tcBorders>
          </w:tcPr>
          <w:p>
            <w:pPr>
              <w:jc w:val="center"/>
            </w:pPr>
            <w:r>
              <w:rPr>
                <w:rFonts w:ascii="Aptos" w:hAnsi="Aptos" w:eastAsia="Aptos"/>
                <w:b/>
                <w:color w:val="163A5F"/>
                <w:sz w:val="20"/>
              </w:rPr>
              <w:t>#</w:t>
            </w:r>
          </w:p>
        </w:tc>
        <w:tc>
          <w:tcPr>
            <w:tcW w:type="dxa" w:w="8731"/>
            <w:shd w:fill="D9E5F0"/>
            <w:tcMar>
              <w:top w:w="90" w:type="dxa"/>
              <w:start w:w="110" w:type="dxa"/>
              <w:bottom w:w="90" w:type="dxa"/>
              <w:end w:w="110" w:type="dxa"/>
            </w:tcMar>
            <w:tcBorders>
              <w:left w:val="single" w:sz="6" w:color="C7D7E5"/>
              <w:top w:val="single" w:sz="6" w:color="C7D7E5"/>
              <w:right w:val="single" w:sz="6" w:color="C7D7E5"/>
              <w:bottom w:val="single" w:sz="6" w:color="C7D7E5"/>
            </w:tcBorders>
          </w:tcPr>
          <w:p>
            <w:pPr>
              <w:jc w:val="left"/>
            </w:pPr>
            <w:r>
              <w:rPr>
                <w:rFonts w:ascii="Aptos" w:hAnsi="Aptos" w:eastAsia="Aptos"/>
                <w:b/>
                <w:color w:val="163A5F"/>
                <w:sz w:val="20"/>
              </w:rPr>
              <w:t>Referencia documental o evidencia</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1</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Documento final de la Metodología de Gestión de Riesgos</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2</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Evidencia de la última versión de la información en el Módulo de Riesgos</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3</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Evidencia de aprobación de la Matriz de Riesgos</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4</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Evidencia de comunicación de la Matriz de Riesgos</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5</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PR-OP-01 Procedimiento Servicios de Implementación y Operación</w:t>
            </w:r>
          </w:p>
        </w:tc>
      </w:tr>
    </w:tbl>
    <w:p/>
    <w:tbl>
      <w:tblPr>
        <w:tblW w:type="auto" w:w="0"/>
        <w:jc w:val="center"/>
        <w:tblLayout w:type="fixed"/>
        <w:tblLook w:firstColumn="1" w:firstRow="1" w:lastColumn="0" w:lastRow="0" w:noHBand="0" w:noVBand="1" w:val="04A0"/>
      </w:tblPr>
      <w:tblGrid>
        <w:gridCol w:w="9866"/>
      </w:tblGrid>
      <w:tr>
        <w:tc>
          <w:tcPr>
            <w:tcW w:type="dxa" w:w="9638"/>
            <w:shd w:fill="F7FAFC"/>
            <w:tcMar>
              <w:top w:w="110" w:type="dxa"/>
              <w:start w:w="140" w:type="dxa"/>
              <w:bottom w:w="110" w:type="dxa"/>
              <w:end w:w="140" w:type="dxa"/>
            </w:tcMar>
            <w:tcBorders>
              <w:left w:val="single" w:sz="6" w:color="DCE5EC"/>
              <w:top w:val="single" w:sz="6" w:color="DCE5EC"/>
              <w:right w:val="single" w:sz="6" w:color="DCE5EC"/>
              <w:bottom w:val="single" w:sz="6" w:color="DCE5EC"/>
            </w:tcBorders>
          </w:tcPr>
          <w:p>
            <w:r>
              <w:rPr>
                <w:rFonts w:ascii="Aptos" w:hAnsi="Aptos" w:eastAsia="Aptos"/>
                <w:b/>
                <w:color w:val="2D5B88"/>
                <w:sz w:val="20"/>
              </w:rPr>
              <w:t xml:space="preserve">Lectura consolidada: </w:t>
            </w:r>
            <w:r>
              <w:rPr>
                <w:rFonts w:ascii="Aptos" w:hAnsi="Aptos" w:eastAsia="Aptos"/>
                <w:b w:val="0"/>
                <w:color w:val="263238"/>
                <w:sz w:val="20"/>
              </w:rPr>
              <w:t>este control vincula la operación del SGSI con la ejecución controlada de procesos y con la gestión de servicios proporcionados externamente.</w:t>
            </w:r>
          </w:p>
        </w:tc>
      </w:tr>
    </w:tbl>
    <w:p>
      <w:r>
        <w:br w:type="page"/>
      </w:r>
    </w:p>
    <w:tbl>
      <w:tblPr>
        <w:tblW w:type="auto" w:w="0"/>
        <w:jc w:val="center"/>
        <w:tblLayout w:type="fixed"/>
        <w:tblLook w:firstColumn="1" w:firstRow="1" w:lastColumn="0" w:lastRow="0" w:noHBand="0" w:noVBand="1" w:val="04A0"/>
      </w:tblPr>
      <w:tblGrid>
        <w:gridCol w:w="7313"/>
        <w:gridCol w:w="2324"/>
      </w:tblGrid>
      <w:tr>
        <w:tc>
          <w:tcPr>
            <w:tcW w:type="dxa" w:w="7313"/>
            <w:tcMar>
              <w:top w:w="140" w:type="dxa"/>
              <w:start w:w="140" w:type="dxa"/>
              <w:bottom w:w="120" w:type="dxa"/>
              <w:end w:w="140" w:type="dxa"/>
            </w:tcMar>
            <w:tcBorders>
              <w:left w:val="single" w:sz="6" w:color="D6E0E8"/>
              <w:top w:val="single" w:sz="6" w:color="D6E0E8"/>
              <w:right w:val="single" w:sz="6" w:color="D6E0E8"/>
              <w:bottom w:val="single" w:sz="6" w:color="D6E0E8"/>
            </w:tcBorders>
            <w:shd w:fill="163A5F"/>
          </w:tcPr>
          <w:p>
            <w:r>
              <w:rPr>
                <w:rFonts w:ascii="Aptos" w:hAnsi="Aptos" w:eastAsia="Aptos"/>
                <w:b/>
                <w:color w:val="FFFFFF"/>
                <w:sz w:val="30"/>
              </w:rPr>
              <w:t>8.2  Evaluación de riesgos de seguridad de la información</w:t>
            </w:r>
          </w:p>
        </w:tc>
        <w:tc>
          <w:tcPr>
            <w:tcW w:type="dxa" w:w="2324"/>
            <w:tcMar>
              <w:top w:w="140" w:type="dxa"/>
              <w:start w:w="140" w:type="dxa"/>
              <w:bottom w:w="120" w:type="dxa"/>
              <w:end w:w="140" w:type="dxa"/>
            </w:tcMar>
            <w:tcBorders>
              <w:left w:val="single" w:sz="6" w:color="D6E0E8"/>
              <w:top w:val="single" w:sz="6" w:color="D6E0E8"/>
              <w:right w:val="single" w:sz="6" w:color="D6E0E8"/>
              <w:bottom w:val="single" w:sz="6" w:color="D6E0E8"/>
            </w:tcBorders>
            <w:shd w:fill="EAF5EC"/>
          </w:tcPr>
          <w:p>
            <w:pPr>
              <w:jc w:val="center"/>
            </w:pPr>
            <w:r>
              <w:rPr>
                <w:rFonts w:ascii="Aptos" w:hAnsi="Aptos" w:eastAsia="Aptos"/>
                <w:b/>
                <w:color w:val="2E7D32"/>
                <w:sz w:val="22"/>
              </w:rPr>
              <w:t>CUMPLE 3/3</w:t>
            </w:r>
          </w:p>
        </w:tc>
      </w:tr>
    </w:tbl>
    <w:p/>
    <w:p>
      <w:r>
        <w:rPr>
          <w:rFonts w:ascii="Aptos" w:hAnsi="Aptos" w:eastAsia="Aptos"/>
          <w:b/>
          <w:color w:val="163A5F"/>
          <w:sz w:val="25"/>
        </w:rPr>
        <w:t>Descripción del control</w:t>
      </w:r>
    </w:p>
    <w:p>
      <w:pPr>
        <w:spacing w:after="160"/>
      </w:pPr>
      <w:r>
        <w:rPr>
          <w:rFonts w:ascii="Aptos" w:hAnsi="Aptos" w:eastAsia="Aptos"/>
          <w:b w:val="0"/>
          <w:color w:val="263238"/>
          <w:sz w:val="21"/>
        </w:rPr>
        <w:t>La organización debe llevar a cabo las evaluaciones de riesgos de seguridad de la información a intervalos planificados o cuando se proponen o se producen cambios significativos, teniendo en cuenta los criterios establecidos en el inciso 6.1.2 inciso a). La organización conserva información documentada de los resultados de las evaluaciones de riesgos de seguridad de la información.</w:t>
      </w:r>
    </w:p>
    <w:p>
      <w:r>
        <w:rPr>
          <w:rFonts w:ascii="Aptos" w:hAnsi="Aptos" w:eastAsia="Aptos"/>
          <w:b/>
          <w:color w:val="163A5F"/>
          <w:sz w:val="25"/>
        </w:rPr>
        <w:t>Evidencias asociadas</w:t>
      </w:r>
    </w:p>
    <w:tbl>
      <w:tblPr>
        <w:tblW w:type="auto" w:w="0"/>
        <w:jc w:val="center"/>
        <w:tblLayout w:type="fixed"/>
        <w:tblLook w:firstColumn="1" w:firstRow="1" w:lastColumn="0" w:lastRow="0" w:noHBand="0" w:noVBand="1" w:val="04A0"/>
      </w:tblPr>
      <w:tblGrid>
        <w:gridCol w:w="4933"/>
        <w:gridCol w:w="4933"/>
      </w:tblGrid>
      <w:tr>
        <w:tc>
          <w:tcPr>
            <w:tcW w:type="dxa" w:w="907"/>
            <w:shd w:fill="D9E5F0"/>
            <w:tcMar>
              <w:top w:w="90" w:type="dxa"/>
              <w:start w:w="110" w:type="dxa"/>
              <w:bottom w:w="90" w:type="dxa"/>
              <w:end w:w="110" w:type="dxa"/>
            </w:tcMar>
            <w:tcBorders>
              <w:left w:val="single" w:sz="6" w:color="C7D7E5"/>
              <w:top w:val="single" w:sz="6" w:color="C7D7E5"/>
              <w:right w:val="single" w:sz="6" w:color="C7D7E5"/>
              <w:bottom w:val="single" w:sz="6" w:color="C7D7E5"/>
            </w:tcBorders>
          </w:tcPr>
          <w:p>
            <w:pPr>
              <w:jc w:val="center"/>
            </w:pPr>
            <w:r>
              <w:rPr>
                <w:rFonts w:ascii="Aptos" w:hAnsi="Aptos" w:eastAsia="Aptos"/>
                <w:b/>
                <w:color w:val="163A5F"/>
                <w:sz w:val="20"/>
              </w:rPr>
              <w:t>#</w:t>
            </w:r>
          </w:p>
        </w:tc>
        <w:tc>
          <w:tcPr>
            <w:tcW w:type="dxa" w:w="8731"/>
            <w:shd w:fill="D9E5F0"/>
            <w:tcMar>
              <w:top w:w="90" w:type="dxa"/>
              <w:start w:w="110" w:type="dxa"/>
              <w:bottom w:w="90" w:type="dxa"/>
              <w:end w:w="110" w:type="dxa"/>
            </w:tcMar>
            <w:tcBorders>
              <w:left w:val="single" w:sz="6" w:color="C7D7E5"/>
              <w:top w:val="single" w:sz="6" w:color="C7D7E5"/>
              <w:right w:val="single" w:sz="6" w:color="C7D7E5"/>
              <w:bottom w:val="single" w:sz="6" w:color="C7D7E5"/>
            </w:tcBorders>
          </w:tcPr>
          <w:p>
            <w:pPr>
              <w:jc w:val="left"/>
            </w:pPr>
            <w:r>
              <w:rPr>
                <w:rFonts w:ascii="Aptos" w:hAnsi="Aptos" w:eastAsia="Aptos"/>
                <w:b/>
                <w:color w:val="163A5F"/>
                <w:sz w:val="20"/>
              </w:rPr>
              <w:t>Referencia documental o evidencia</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1</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Columnas completadas de ID, Nombre, Tipo de activo afectado, Activos asociados y Riesgo inherente del Módulo de Riesgos</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2</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Evidencia de revisión del módulo de Riesgos</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3</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Evidencia del histórico de versiones y cambios realizados</w:t>
            </w:r>
          </w:p>
        </w:tc>
      </w:tr>
    </w:tbl>
    <w:p/>
    <w:tbl>
      <w:tblPr>
        <w:tblW w:type="auto" w:w="0"/>
        <w:jc w:val="center"/>
        <w:tblLayout w:type="fixed"/>
        <w:tblLook w:firstColumn="1" w:firstRow="1" w:lastColumn="0" w:lastRow="0" w:noHBand="0" w:noVBand="1" w:val="04A0"/>
      </w:tblPr>
      <w:tblGrid>
        <w:gridCol w:w="9866"/>
      </w:tblGrid>
      <w:tr>
        <w:tc>
          <w:tcPr>
            <w:tcW w:type="dxa" w:w="9638"/>
            <w:shd w:fill="F7FAFC"/>
            <w:tcMar>
              <w:top w:w="110" w:type="dxa"/>
              <w:start w:w="140" w:type="dxa"/>
              <w:bottom w:w="110" w:type="dxa"/>
              <w:end w:w="140" w:type="dxa"/>
            </w:tcMar>
            <w:tcBorders>
              <w:left w:val="single" w:sz="6" w:color="DCE5EC"/>
              <w:top w:val="single" w:sz="6" w:color="DCE5EC"/>
              <w:right w:val="single" w:sz="6" w:color="DCE5EC"/>
              <w:bottom w:val="single" w:sz="6" w:color="DCE5EC"/>
            </w:tcBorders>
          </w:tcPr>
          <w:p>
            <w:r>
              <w:rPr>
                <w:rFonts w:ascii="Aptos" w:hAnsi="Aptos" w:eastAsia="Aptos"/>
                <w:b/>
                <w:color w:val="2D5B88"/>
                <w:sz w:val="20"/>
              </w:rPr>
              <w:t xml:space="preserve">Lectura consolidada: </w:t>
            </w:r>
            <w:r>
              <w:rPr>
                <w:rFonts w:ascii="Aptos" w:hAnsi="Aptos" w:eastAsia="Aptos"/>
                <w:b w:val="0"/>
                <w:color w:val="263238"/>
                <w:sz w:val="20"/>
              </w:rPr>
              <w:t>este control centra la evidencia en la reevaluación periódica del riesgo y en la trazabilidad de los cambios dentro del módulo de riesgos.</w:t>
            </w:r>
          </w:p>
        </w:tc>
      </w:tr>
    </w:tbl>
    <w:p>
      <w:r>
        <w:br w:type="page"/>
      </w:r>
    </w:p>
    <w:tbl>
      <w:tblPr>
        <w:tblW w:type="auto" w:w="0"/>
        <w:jc w:val="center"/>
        <w:tblLayout w:type="fixed"/>
        <w:tblLook w:firstColumn="1" w:firstRow="1" w:lastColumn="0" w:lastRow="0" w:noHBand="0" w:noVBand="1" w:val="04A0"/>
      </w:tblPr>
      <w:tblGrid>
        <w:gridCol w:w="7313"/>
        <w:gridCol w:w="2324"/>
      </w:tblGrid>
      <w:tr>
        <w:tc>
          <w:tcPr>
            <w:tcW w:type="dxa" w:w="7313"/>
            <w:tcMar>
              <w:top w:w="140" w:type="dxa"/>
              <w:start w:w="140" w:type="dxa"/>
              <w:bottom w:w="120" w:type="dxa"/>
              <w:end w:w="140" w:type="dxa"/>
            </w:tcMar>
            <w:tcBorders>
              <w:left w:val="single" w:sz="6" w:color="D6E0E8"/>
              <w:top w:val="single" w:sz="6" w:color="D6E0E8"/>
              <w:right w:val="single" w:sz="6" w:color="D6E0E8"/>
              <w:bottom w:val="single" w:sz="6" w:color="D6E0E8"/>
            </w:tcBorders>
            <w:shd w:fill="163A5F"/>
          </w:tcPr>
          <w:p>
            <w:r>
              <w:rPr>
                <w:rFonts w:ascii="Aptos" w:hAnsi="Aptos" w:eastAsia="Aptos"/>
                <w:b/>
                <w:color w:val="FFFFFF"/>
                <w:sz w:val="30"/>
              </w:rPr>
              <w:t>8.3  Tratamiento de riesgos de seguridad de la información</w:t>
            </w:r>
          </w:p>
        </w:tc>
        <w:tc>
          <w:tcPr>
            <w:tcW w:type="dxa" w:w="2324"/>
            <w:tcMar>
              <w:top w:w="140" w:type="dxa"/>
              <w:start w:w="140" w:type="dxa"/>
              <w:bottom w:w="120" w:type="dxa"/>
              <w:end w:w="140" w:type="dxa"/>
            </w:tcMar>
            <w:tcBorders>
              <w:left w:val="single" w:sz="6" w:color="D6E0E8"/>
              <w:top w:val="single" w:sz="6" w:color="D6E0E8"/>
              <w:right w:val="single" w:sz="6" w:color="D6E0E8"/>
              <w:bottom w:val="single" w:sz="6" w:color="D6E0E8"/>
            </w:tcBorders>
            <w:shd w:fill="EAF5EC"/>
          </w:tcPr>
          <w:p>
            <w:pPr>
              <w:jc w:val="center"/>
            </w:pPr>
            <w:r>
              <w:rPr>
                <w:rFonts w:ascii="Aptos" w:hAnsi="Aptos" w:eastAsia="Aptos"/>
                <w:b/>
                <w:color w:val="2E7D32"/>
                <w:sz w:val="22"/>
              </w:rPr>
              <w:t>CUMPLE 5/5</w:t>
            </w:r>
          </w:p>
        </w:tc>
      </w:tr>
    </w:tbl>
    <w:p/>
    <w:p>
      <w:r>
        <w:rPr>
          <w:rFonts w:ascii="Aptos" w:hAnsi="Aptos" w:eastAsia="Aptos"/>
          <w:b/>
          <w:color w:val="163A5F"/>
          <w:sz w:val="25"/>
        </w:rPr>
        <w:t>Descripción del control</w:t>
      </w:r>
    </w:p>
    <w:p>
      <w:pPr>
        <w:spacing w:after="160"/>
      </w:pPr>
      <w:r>
        <w:rPr>
          <w:rFonts w:ascii="Aptos" w:hAnsi="Aptos" w:eastAsia="Aptos"/>
          <w:b w:val="0"/>
          <w:color w:val="263238"/>
          <w:sz w:val="21"/>
        </w:rPr>
        <w:t>La organización debe implementar el plan de tratamiento de riesgos de seguridad de la información. La organización debe conservar la información documentada de los resultados del tratamiento de riesgos de seguridad de la información.</w:t>
      </w:r>
    </w:p>
    <w:p>
      <w:r>
        <w:rPr>
          <w:rFonts w:ascii="Aptos" w:hAnsi="Aptos" w:eastAsia="Aptos"/>
          <w:b/>
          <w:color w:val="163A5F"/>
          <w:sz w:val="25"/>
        </w:rPr>
        <w:t>Evidencias asociadas</w:t>
      </w:r>
    </w:p>
    <w:tbl>
      <w:tblPr>
        <w:tblW w:type="auto" w:w="0"/>
        <w:jc w:val="center"/>
        <w:tblLayout w:type="fixed"/>
        <w:tblLook w:firstColumn="1" w:firstRow="1" w:lastColumn="0" w:lastRow="0" w:noHBand="0" w:noVBand="1" w:val="04A0"/>
      </w:tblPr>
      <w:tblGrid>
        <w:gridCol w:w="4933"/>
        <w:gridCol w:w="4933"/>
      </w:tblGrid>
      <w:tr>
        <w:tc>
          <w:tcPr>
            <w:tcW w:type="dxa" w:w="907"/>
            <w:shd w:fill="D9E5F0"/>
            <w:tcMar>
              <w:top w:w="90" w:type="dxa"/>
              <w:start w:w="110" w:type="dxa"/>
              <w:bottom w:w="90" w:type="dxa"/>
              <w:end w:w="110" w:type="dxa"/>
            </w:tcMar>
            <w:tcBorders>
              <w:left w:val="single" w:sz="6" w:color="C7D7E5"/>
              <w:top w:val="single" w:sz="6" w:color="C7D7E5"/>
              <w:right w:val="single" w:sz="6" w:color="C7D7E5"/>
              <w:bottom w:val="single" w:sz="6" w:color="C7D7E5"/>
            </w:tcBorders>
          </w:tcPr>
          <w:p>
            <w:pPr>
              <w:jc w:val="center"/>
            </w:pPr>
            <w:r>
              <w:rPr>
                <w:rFonts w:ascii="Aptos" w:hAnsi="Aptos" w:eastAsia="Aptos"/>
                <w:b/>
                <w:color w:val="163A5F"/>
                <w:sz w:val="20"/>
              </w:rPr>
              <w:t>#</w:t>
            </w:r>
          </w:p>
        </w:tc>
        <w:tc>
          <w:tcPr>
            <w:tcW w:type="dxa" w:w="8731"/>
            <w:shd w:fill="D9E5F0"/>
            <w:tcMar>
              <w:top w:w="90" w:type="dxa"/>
              <w:start w:w="110" w:type="dxa"/>
              <w:bottom w:w="90" w:type="dxa"/>
              <w:end w:w="110" w:type="dxa"/>
            </w:tcMar>
            <w:tcBorders>
              <w:left w:val="single" w:sz="6" w:color="C7D7E5"/>
              <w:top w:val="single" w:sz="6" w:color="C7D7E5"/>
              <w:right w:val="single" w:sz="6" w:color="C7D7E5"/>
              <w:bottom w:val="single" w:sz="6" w:color="C7D7E5"/>
            </w:tcBorders>
          </w:tcPr>
          <w:p>
            <w:pPr>
              <w:jc w:val="left"/>
            </w:pPr>
            <w:r>
              <w:rPr>
                <w:rFonts w:ascii="Aptos" w:hAnsi="Aptos" w:eastAsia="Aptos"/>
                <w:b/>
                <w:color w:val="163A5F"/>
                <w:sz w:val="20"/>
              </w:rPr>
              <w:t>Referencia documental o evidencia</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1</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Columnas completadas de Tratamiento y Riesgo residual del módulo de Riesgos</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2</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Documento final del Informe del Análisis de Riesgo</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3</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Documento final de la Carta de Aceptación de Riesgos</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4</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Minutas de sesión de comité de seguridad</w:t>
            </w:r>
          </w:p>
        </w:tc>
      </w:tr>
      <w:tr>
        <w:tc>
          <w:tcPr>
            <w:tcW w:type="dxa" w:w="907"/>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pPr>
              <w:jc w:val="center"/>
            </w:pPr>
            <w:r>
              <w:rPr>
                <w:rFonts w:ascii="Aptos" w:hAnsi="Aptos" w:eastAsia="Aptos"/>
                <w:b/>
                <w:color w:val="2D5B88"/>
                <w:sz w:val="20"/>
              </w:rPr>
              <w:t>5</w:t>
            </w:r>
          </w:p>
        </w:tc>
        <w:tc>
          <w:tcPr>
            <w:tcW w:type="dxa" w:w="8731"/>
            <w:tcMar>
              <w:top w:w="95" w:type="dxa"/>
              <w:start w:w="110" w:type="dxa"/>
              <w:bottom w:w="95" w:type="dxa"/>
              <w:end w:w="110" w:type="dxa"/>
            </w:tcMar>
            <w:tcBorders>
              <w:left w:val="single" w:sz="6" w:color="DCE5EC"/>
              <w:top w:val="single" w:sz="6" w:color="DCE5EC"/>
              <w:right w:val="single" w:sz="6" w:color="DCE5EC"/>
              <w:bottom w:val="single" w:sz="6" w:color="DCE5EC"/>
            </w:tcBorders>
            <w:vAlign w:val="center"/>
          </w:tcPr>
          <w:p>
            <w:r>
              <w:rPr>
                <w:rFonts w:ascii="Aptos" w:hAnsi="Aptos" w:eastAsia="Aptos"/>
                <w:b w:val="0"/>
                <w:color w:val="263238"/>
                <w:sz w:val="20"/>
              </w:rPr>
              <w:t>Evidencia de comunicación de las Minutas de sesión de comité de seguridad</w:t>
            </w:r>
          </w:p>
        </w:tc>
      </w:tr>
    </w:tbl>
    <w:p/>
    <w:tbl>
      <w:tblPr>
        <w:tblW w:type="auto" w:w="0"/>
        <w:jc w:val="center"/>
        <w:tblLayout w:type="fixed"/>
        <w:tblLook w:firstColumn="1" w:firstRow="1" w:lastColumn="0" w:lastRow="0" w:noHBand="0" w:noVBand="1" w:val="04A0"/>
      </w:tblPr>
      <w:tblGrid>
        <w:gridCol w:w="9866"/>
      </w:tblGrid>
      <w:tr>
        <w:tc>
          <w:tcPr>
            <w:tcW w:type="dxa" w:w="9638"/>
            <w:shd w:fill="F7FAFC"/>
            <w:tcMar>
              <w:top w:w="110" w:type="dxa"/>
              <w:start w:w="140" w:type="dxa"/>
              <w:bottom w:w="110" w:type="dxa"/>
              <w:end w:w="140" w:type="dxa"/>
            </w:tcMar>
            <w:tcBorders>
              <w:left w:val="single" w:sz="6" w:color="DCE5EC"/>
              <w:top w:val="single" w:sz="6" w:color="DCE5EC"/>
              <w:right w:val="single" w:sz="6" w:color="DCE5EC"/>
              <w:bottom w:val="single" w:sz="6" w:color="DCE5EC"/>
            </w:tcBorders>
          </w:tcPr>
          <w:p>
            <w:r>
              <w:rPr>
                <w:rFonts w:ascii="Aptos" w:hAnsi="Aptos" w:eastAsia="Aptos"/>
                <w:b/>
                <w:color w:val="2D5B88"/>
                <w:sz w:val="20"/>
              </w:rPr>
              <w:t xml:space="preserve">Lectura consolidada: </w:t>
            </w:r>
            <w:r>
              <w:rPr>
                <w:rFonts w:ascii="Aptos" w:hAnsi="Aptos" w:eastAsia="Aptos"/>
                <w:b w:val="0"/>
                <w:color w:val="263238"/>
                <w:sz w:val="20"/>
              </w:rPr>
              <w:t>este control concentra la materialización del tratamiento, la aceptación del riesgo residual y la trazabilidad de acuerdos del comité.</w:t>
            </w:r>
          </w:p>
        </w:tc>
      </w:tr>
    </w:tbl>
    <w:p>
      <w:r>
        <w:br w:type="page"/>
      </w:r>
    </w:p>
    <w:p>
      <w:r>
        <w:rPr>
          <w:rFonts w:ascii="Aptos" w:hAnsi="Aptos" w:eastAsia="Aptos"/>
          <w:b/>
          <w:color w:val="163A5F"/>
          <w:sz w:val="32"/>
        </w:rPr>
        <w:t>Observaciones de depuración del extracto</w:t>
      </w:r>
    </w:p>
    <w:p>
      <w:pPr>
        <w:ind w:left="227"/>
      </w:pPr>
      <w:r>
        <w:rPr>
          <w:rFonts w:ascii="Aptos" w:hAnsi="Aptos" w:eastAsia="Aptos"/>
          <w:b w:val="0"/>
          <w:color w:val="263238"/>
          <w:sz w:val="21"/>
        </w:rPr>
        <w:t>• Se conservaron únicamente los bloques con identificador numérico 8.1, 8.2 y 8.3.</w:t>
      </w:r>
    </w:p>
    <w:p>
      <w:pPr>
        <w:ind w:left="227"/>
      </w:pPr>
      <w:r>
        <w:rPr>
          <w:rFonts w:ascii="Aptos" w:hAnsi="Aptos" w:eastAsia="Aptos"/>
          <w:b w:val="0"/>
          <w:color w:val="263238"/>
          <w:sz w:val="21"/>
        </w:rPr>
        <w:t>• Se eliminaron duplicados que repetían el mismo contenido bajo encabezados abreviados.</w:t>
      </w:r>
    </w:p>
    <w:p>
      <w:pPr>
        <w:ind w:left="227"/>
      </w:pPr>
      <w:r>
        <w:rPr>
          <w:rFonts w:ascii="Aptos" w:hAnsi="Aptos" w:eastAsia="Aptos"/>
          <w:b w:val="0"/>
          <w:color w:val="263238"/>
          <w:sz w:val="21"/>
        </w:rPr>
        <w:t>• Las evidencias se reorganizaron como listas para facilitar lectura, revisión y uso como soporte documental.</w:t>
      </w:r>
    </w:p>
    <w:sectPr w:rsidR="00FC693F" w:rsidRPr="0006063C" w:rsidSect="00034616">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6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6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163A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