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54"/>
      </w:tblGrid>
      <w:tr>
        <w:tc>
          <w:tcPr>
            <w:tcW w:type="dxa" w:w="9858"/>
            <w:shd w:fill="1F4E79"/>
          </w:tcPr>
          <w:p>
            <w:pPr>
              <w:spacing w:before="280" w:after="280"/>
              <w:jc w:val="center"/>
            </w:pPr>
            <w:r>
              <w:rPr>
                <w:rFonts w:ascii="Aptos Display" w:hAnsi="Aptos Display"/>
                <w:b/>
                <w:color w:val="FFFFFF"/>
                <w:sz w:val="48"/>
              </w:rPr>
              <w:t>REQUISITO 9</w:t>
            </w:r>
          </w:p>
        </w:tc>
      </w:tr>
    </w:tbl>
    <w:p>
      <w:pPr>
        <w:spacing w:before="360"/>
        <w:jc w:val="center"/>
      </w:pPr>
      <w:r>
        <w:rPr>
          <w:b/>
          <w:color w:val="17324D"/>
          <w:sz w:val="40"/>
        </w:rPr>
        <w:t>Evaluación del desempeño del SGSI</w:t>
      </w:r>
    </w:p>
    <w:p>
      <w:pPr>
        <w:spacing w:after="360"/>
        <w:jc w:val="center"/>
      </w:pPr>
      <w:r>
        <w:rPr>
          <w:color w:val="5A6B7B"/>
          <w:sz w:val="23"/>
        </w:rPr>
        <w:t>Consolidación del extracto automatizado y presentación ejecutiva</w:t>
      </w:r>
    </w:p>
    <w:tbl>
      <w:tblPr>
        <w:tblW w:type="auto" w:w="0"/>
        <w:jc w:val="center"/>
        <w:tblLayout w:type="fixed"/>
        <w:tblLook w:firstColumn="1" w:firstRow="1" w:lastColumn="0" w:lastRow="0" w:noHBand="0" w:noVBand="1" w:val="04A0"/>
      </w:tblPr>
      <w:tblGrid>
        <w:gridCol w:w="2835"/>
        <w:gridCol w:w="5953"/>
      </w:tblGrid>
      <w:tr>
        <w:tc>
          <w:tcPr>
            <w:tcW w:type="dxa" w:w="4929"/>
            <w:shd w:fill="EAF2F8"/>
            <w:vAlign w:val="center"/>
            <w:tcBorders>
              <w:left w:val="single" w:sz="8" w:color="D9E2F3"/>
              <w:top w:val="single" w:sz="8" w:color="D9E2F3"/>
              <w:right w:val="single" w:sz="8" w:color="D9E2F3"/>
              <w:bottom w:val="single" w:sz="8" w:color="D9E2F3"/>
            </w:tcBorders>
          </w:tcPr>
          <w:p>
            <w:pPr>
              <w:spacing w:before="40" w:after="40"/>
            </w:pPr>
            <w:r>
              <w:rPr>
                <w:color w:val="334E68"/>
                <w:sz w:val="19"/>
              </w:rPr>
              <w:t>Fuente</w:t>
            </w:r>
          </w:p>
        </w:tc>
        <w:tc>
          <w:tcPr>
            <w:tcW w:type="dxa" w:w="4929"/>
            <w:vAlign w:val="center"/>
            <w:tcBorders>
              <w:left w:val="single" w:sz="8" w:color="D9E2F3"/>
              <w:top w:val="single" w:sz="8" w:color="D9E2F3"/>
              <w:right w:val="single" w:sz="8" w:color="D9E2F3"/>
              <w:bottom w:val="single" w:sz="8" w:color="D9E2F3"/>
            </w:tcBorders>
          </w:tcPr>
          <w:p>
            <w:pPr>
              <w:spacing w:before="40" w:after="40"/>
            </w:pPr>
            <w:r>
              <w:rPr>
                <w:color w:val="334E68"/>
                <w:sz w:val="19"/>
              </w:rPr>
              <w:t>Archivo extraído: Requisito 9.txt</w:t>
            </w:r>
          </w:p>
        </w:tc>
      </w:tr>
      <w:tr>
        <w:tc>
          <w:tcPr>
            <w:tcW w:type="dxa" w:w="4929"/>
            <w:shd w:fill="EAF2F8"/>
            <w:vAlign w:val="center"/>
            <w:tcBorders>
              <w:left w:val="single" w:sz="8" w:color="D9E2F3"/>
              <w:top w:val="single" w:sz="8" w:color="D9E2F3"/>
              <w:right w:val="single" w:sz="8" w:color="D9E2F3"/>
              <w:bottom w:val="single" w:sz="8" w:color="D9E2F3"/>
            </w:tcBorders>
          </w:tcPr>
          <w:p>
            <w:pPr>
              <w:spacing w:before="40" w:after="40"/>
            </w:pPr>
            <w:r>
              <w:rPr>
                <w:color w:val="334E68"/>
                <w:sz w:val="19"/>
              </w:rPr>
              <w:t>Cobertura</w:t>
            </w:r>
          </w:p>
        </w:tc>
        <w:tc>
          <w:tcPr>
            <w:tcW w:type="dxa" w:w="4929"/>
            <w:vAlign w:val="center"/>
            <w:tcBorders>
              <w:left w:val="single" w:sz="8" w:color="D9E2F3"/>
              <w:top w:val="single" w:sz="8" w:color="D9E2F3"/>
              <w:right w:val="single" w:sz="8" w:color="D9E2F3"/>
              <w:bottom w:val="single" w:sz="8" w:color="D9E2F3"/>
            </w:tcBorders>
          </w:tcPr>
          <w:p>
            <w:pPr>
              <w:spacing w:before="40" w:after="40"/>
            </w:pPr>
            <w:r>
              <w:rPr>
                <w:color w:val="334E68"/>
                <w:sz w:val="19"/>
              </w:rPr>
              <w:t>Cláusulas 9.1, 9.2.1, 9.2.2, 9.3.1, 9.3.2 y 9.3.3</w:t>
            </w:r>
          </w:p>
        </w:tc>
      </w:tr>
      <w:tr>
        <w:tc>
          <w:tcPr>
            <w:tcW w:type="dxa" w:w="4929"/>
            <w:shd w:fill="EAF2F8"/>
            <w:vAlign w:val="center"/>
            <w:tcBorders>
              <w:left w:val="single" w:sz="8" w:color="D9E2F3"/>
              <w:top w:val="single" w:sz="8" w:color="D9E2F3"/>
              <w:right w:val="single" w:sz="8" w:color="D9E2F3"/>
              <w:bottom w:val="single" w:sz="8" w:color="D9E2F3"/>
            </w:tcBorders>
          </w:tcPr>
          <w:p>
            <w:pPr>
              <w:spacing w:before="40" w:after="40"/>
            </w:pPr>
            <w:r>
              <w:rPr>
                <w:color w:val="334E68"/>
                <w:sz w:val="19"/>
              </w:rPr>
              <w:t>Fecha de integración</w:t>
            </w:r>
          </w:p>
        </w:tc>
        <w:tc>
          <w:tcPr>
            <w:tcW w:type="dxa" w:w="4929"/>
            <w:vAlign w:val="center"/>
            <w:tcBorders>
              <w:left w:val="single" w:sz="8" w:color="D9E2F3"/>
              <w:top w:val="single" w:sz="8" w:color="D9E2F3"/>
              <w:right w:val="single" w:sz="8" w:color="D9E2F3"/>
              <w:bottom w:val="single" w:sz="8" w:color="D9E2F3"/>
            </w:tcBorders>
          </w:tcPr>
          <w:p>
            <w:pPr>
              <w:spacing w:before="40" w:after="40"/>
            </w:pPr>
            <w:r>
              <w:rPr>
                <w:color w:val="334E68"/>
                <w:sz w:val="19"/>
              </w:rPr>
              <w:t>01/04/2026</w:t>
            </w:r>
          </w:p>
        </w:tc>
      </w:tr>
    </w:tbl>
    <w:tbl>
      <w:tblPr>
        <w:tblW w:type="auto" w:w="0"/>
        <w:jc w:val="center"/>
        <w:tblLayout w:type="fixed"/>
        <w:tblLook w:firstColumn="1" w:firstRow="1" w:lastColumn="0" w:lastRow="0" w:noHBand="0" w:noVBand="1" w:val="04A0"/>
      </w:tblPr>
      <w:tblGrid>
        <w:gridCol w:w="8787"/>
      </w:tblGrid>
      <w:tr>
        <w:tc>
          <w:tcPr>
            <w:tcW w:type="dxa" w:w="9858"/>
            <w:shd w:fill="F7FAFC"/>
            <w:tcBorders>
              <w:left w:val="single" w:sz="16" w:color="5B8DEF"/>
            </w:tcBorders>
          </w:tcPr>
          <w:p>
            <w:pPr>
              <w:spacing w:before="80" w:after="80"/>
            </w:pPr>
            <w:r>
              <w:rPr>
                <w:b/>
                <w:color w:val="17324D"/>
              </w:rPr>
              <w:t xml:space="preserve">Objetivo. </w:t>
            </w:r>
            <w:r>
              <w:rPr>
                <w:color w:val="334E68"/>
              </w:rPr>
              <w:t>Presentar el contenido del requisito 9 en un formato claro, consolidado y listo para revisión interna o auditoría.</w:t>
            </w:r>
          </w:p>
        </w:tc>
      </w:tr>
    </w:tbl>
    <w:p>
      <w:r>
        <w:br w:type="page"/>
      </w:r>
    </w:p>
    <w:p>
      <w:pPr>
        <w:pStyle w:val="Heading1"/>
        <w:pBdr>
          <w:bottom w:val="single" w:sz="8" w:space="1" w:color="B8CCE4"/>
        </w:pBdr>
      </w:pPr>
      <w:r>
        <w:t>Resumen ejecutivo</w:t>
      </w:r>
    </w:p>
    <w:p>
      <w:r>
        <w:rPr>
          <w:b w:val="0"/>
        </w:rPr>
        <w:t xml:space="preserve">El extracto consolidado del requisito 9 reúne </w:t>
      </w:r>
      <w:r>
        <w:rPr>
          <w:b/>
          <w:color w:val="17324D"/>
        </w:rPr>
        <w:t>6 controles únicos</w:t>
      </w:r>
      <w:r>
        <w:rPr>
          <w:b w:val="0"/>
        </w:rPr>
        <w:t xml:space="preserve"> relacionados con monitoreo, auditoría interna y revisión por la dirección. </w:t>
      </w:r>
      <w:r>
        <w:rPr>
          <w:b/>
          <w:color w:val="1F7A1F"/>
        </w:rPr>
        <w:t>5 controles se reportan en cumplimiento total</w:t>
      </w:r>
      <w:r>
        <w:rPr>
          <w:b w:val="0"/>
        </w:rPr>
        <w:t xml:space="preserve"> y </w:t>
      </w:r>
      <w:r>
        <w:rPr>
          <w:b/>
          <w:color w:val="B26A00"/>
        </w:rPr>
        <w:t>1 control se reporta con cumplimiento parcial</w:t>
      </w:r>
      <w:r>
        <w:rPr>
          <w:b w:val="0"/>
        </w:rPr>
        <w:t>.</w:t>
      </w:r>
    </w:p>
    <w:tbl>
      <w:tblPr>
        <w:tblW w:type="auto" w:w="0"/>
        <w:jc w:val="center"/>
        <w:tblLayout w:type="fixed"/>
        <w:tblLook w:firstColumn="1" w:firstRow="1" w:lastColumn="0" w:lastRow="0" w:noHBand="0" w:noVBand="1" w:val="04A0"/>
      </w:tblPr>
      <w:tblGrid>
        <w:gridCol w:w="1984"/>
        <w:gridCol w:w="1984"/>
        <w:gridCol w:w="2268"/>
        <w:gridCol w:w="2835"/>
      </w:tblGrid>
      <w:tr>
        <w:tc>
          <w:tcPr>
            <w:tcW w:type="dxa" w:w="2464"/>
            <w:shd w:fill="EAF2F8"/>
            <w:tcBorders>
              <w:left w:val="single" w:sz="8" w:color="D9E2F3"/>
              <w:top w:val="single" w:sz="8" w:color="D9E2F3"/>
              <w:right w:val="single" w:sz="8" w:color="D9E2F3"/>
              <w:bottom w:val="single" w:sz="8" w:color="D9E2F3"/>
            </w:tcBorders>
          </w:tcPr>
          <w:p>
            <w:pPr>
              <w:spacing w:before="120" w:after="0"/>
              <w:jc w:val="center"/>
            </w:pPr>
            <w:r>
              <w:rPr>
                <w:b/>
                <w:color w:val="17324D"/>
                <w:sz w:val="36"/>
              </w:rPr>
              <w:t>6</w:t>
            </w:r>
          </w:p>
          <w:p>
            <w:pPr>
              <w:spacing w:before="0" w:after="120"/>
              <w:jc w:val="center"/>
            </w:pPr>
            <w:r>
              <w:rPr>
                <w:color w:val="486581"/>
                <w:sz w:val="18"/>
              </w:rPr>
              <w:t>Controles</w:t>
            </w:r>
          </w:p>
        </w:tc>
        <w:tc>
          <w:tcPr>
            <w:tcW w:type="dxa" w:w="2464"/>
            <w:shd w:fill="EAF7EA"/>
            <w:tcBorders>
              <w:left w:val="single" w:sz="8" w:color="D9E2F3"/>
              <w:top w:val="single" w:sz="8" w:color="D9E2F3"/>
              <w:right w:val="single" w:sz="8" w:color="D9E2F3"/>
              <w:bottom w:val="single" w:sz="8" w:color="D9E2F3"/>
            </w:tcBorders>
          </w:tcPr>
          <w:p>
            <w:pPr>
              <w:spacing w:before="120" w:after="0"/>
              <w:jc w:val="center"/>
            </w:pPr>
            <w:r>
              <w:rPr>
                <w:b/>
                <w:color w:val="1F7A1F"/>
                <w:sz w:val="36"/>
              </w:rPr>
              <w:t>5</w:t>
            </w:r>
          </w:p>
          <w:p>
            <w:pPr>
              <w:spacing w:before="0" w:after="120"/>
              <w:jc w:val="center"/>
            </w:pPr>
            <w:r>
              <w:rPr>
                <w:color w:val="486581"/>
                <w:sz w:val="18"/>
              </w:rPr>
              <w:t>Cumplen</w:t>
            </w:r>
          </w:p>
        </w:tc>
        <w:tc>
          <w:tcPr>
            <w:tcW w:type="dxa" w:w="2464"/>
            <w:shd w:fill="FFF4E5"/>
            <w:tcBorders>
              <w:left w:val="single" w:sz="8" w:color="D9E2F3"/>
              <w:top w:val="single" w:sz="8" w:color="D9E2F3"/>
              <w:right w:val="single" w:sz="8" w:color="D9E2F3"/>
              <w:bottom w:val="single" w:sz="8" w:color="D9E2F3"/>
            </w:tcBorders>
          </w:tcPr>
          <w:p>
            <w:pPr>
              <w:spacing w:before="120" w:after="0"/>
              <w:jc w:val="center"/>
            </w:pPr>
            <w:r>
              <w:rPr>
                <w:b/>
                <w:color w:val="B26A00"/>
                <w:sz w:val="36"/>
              </w:rPr>
              <w:t>1</w:t>
            </w:r>
          </w:p>
          <w:p>
            <w:pPr>
              <w:spacing w:before="0" w:after="120"/>
              <w:jc w:val="center"/>
            </w:pPr>
            <w:r>
              <w:rPr>
                <w:color w:val="486581"/>
                <w:sz w:val="18"/>
              </w:rPr>
              <w:t>Parciales</w:t>
            </w:r>
          </w:p>
        </w:tc>
        <w:tc>
          <w:tcPr>
            <w:tcW w:type="dxa" w:w="2464"/>
            <w:shd w:fill="F4F6F8"/>
            <w:tcBorders>
              <w:left w:val="single" w:sz="8" w:color="D9E2F3"/>
              <w:top w:val="single" w:sz="8" w:color="D9E2F3"/>
              <w:right w:val="single" w:sz="8" w:color="D9E2F3"/>
              <w:bottom w:val="single" w:sz="8" w:color="D9E2F3"/>
            </w:tcBorders>
          </w:tcPr>
          <w:p>
            <w:pPr>
              <w:spacing w:before="120" w:after="0"/>
              <w:jc w:val="center"/>
            </w:pPr>
            <w:r>
              <w:rPr>
                <w:b/>
                <w:color w:val="334E68"/>
                <w:sz w:val="36"/>
              </w:rPr>
              <w:t>24</w:t>
            </w:r>
          </w:p>
          <w:p>
            <w:pPr>
              <w:spacing w:before="0" w:after="120"/>
              <w:jc w:val="center"/>
            </w:pPr>
            <w:r>
              <w:rPr>
                <w:color w:val="486581"/>
                <w:sz w:val="18"/>
              </w:rPr>
              <w:t>Evidencias</w:t>
            </w:r>
          </w:p>
        </w:tc>
      </w:tr>
    </w:tbl>
    <w:p>
      <w:pPr>
        <w:pStyle w:val="Heading1"/>
        <w:pBdr>
          <w:bottom w:val="single" w:sz="8" w:space="1" w:color="B8CCE4"/>
        </w:pBdr>
      </w:pPr>
      <w:r>
        <w:t>Matriz consolidada de cumplimiento</w:t>
      </w:r>
    </w:p>
    <w:tbl>
      <w:tblPr>
        <w:tblStyle w:val="TableGrid"/>
        <w:tblW w:type="auto" w:w="0"/>
        <w:jc w:val="center"/>
        <w:tblLayout w:type="fixed"/>
        <w:tblLook w:firstColumn="1" w:firstRow="1" w:lastColumn="0" w:lastRow="0" w:noHBand="0" w:noVBand="1" w:val="04A0"/>
      </w:tblPr>
      <w:tblGrid>
        <w:gridCol w:w="1134"/>
        <w:gridCol w:w="3402"/>
        <w:gridCol w:w="1871"/>
        <w:gridCol w:w="1191"/>
        <w:gridCol w:w="2268"/>
      </w:tblGrid>
      <w:tr>
        <w:trPr>
          <w:tblHeader w:val="true"/>
        </w:trPr>
        <w:tc>
          <w:tcPr>
            <w:tcW w:type="dxa" w:w="1972"/>
            <w:shd w:fill="1F4E79"/>
            <w:tcBorders>
              <w:left w:val="single" w:sz="6" w:color="FFFFFF"/>
              <w:top w:val="single" w:sz="6" w:color="FFFFFF"/>
              <w:right w:val="single" w:sz="6" w:color="FFFFFF"/>
              <w:bottom w:val="single" w:sz="6" w:color="FFFFFF"/>
            </w:tcBorders>
          </w:tcPr>
          <w:p>
            <w:pPr>
              <w:jc w:val="center"/>
            </w:pPr>
            <w:r>
              <w:rPr>
                <w:b/>
                <w:color w:val="FFFFFF"/>
                <w:sz w:val="18"/>
              </w:rPr>
              <w:t>ID</w:t>
            </w:r>
          </w:p>
        </w:tc>
        <w:tc>
          <w:tcPr>
            <w:tcW w:type="dxa" w:w="1972"/>
            <w:shd w:fill="1F4E79"/>
            <w:tcBorders>
              <w:left w:val="single" w:sz="6" w:color="FFFFFF"/>
              <w:top w:val="single" w:sz="6" w:color="FFFFFF"/>
              <w:right w:val="single" w:sz="6" w:color="FFFFFF"/>
              <w:bottom w:val="single" w:sz="6" w:color="FFFFFF"/>
            </w:tcBorders>
          </w:tcPr>
          <w:p>
            <w:pPr>
              <w:jc w:val="center"/>
            </w:pPr>
            <w:r>
              <w:rPr>
                <w:b/>
                <w:color w:val="FFFFFF"/>
                <w:sz w:val="18"/>
              </w:rPr>
              <w:t>Control</w:t>
            </w:r>
          </w:p>
        </w:tc>
        <w:tc>
          <w:tcPr>
            <w:tcW w:type="dxa" w:w="1972"/>
            <w:shd w:fill="1F4E79"/>
            <w:tcBorders>
              <w:left w:val="single" w:sz="6" w:color="FFFFFF"/>
              <w:top w:val="single" w:sz="6" w:color="FFFFFF"/>
              <w:right w:val="single" w:sz="6" w:color="FFFFFF"/>
              <w:bottom w:val="single" w:sz="6" w:color="FFFFFF"/>
            </w:tcBorders>
          </w:tcPr>
          <w:p>
            <w:pPr>
              <w:jc w:val="center"/>
            </w:pPr>
            <w:r>
              <w:rPr>
                <w:b/>
                <w:color w:val="FFFFFF"/>
                <w:sz w:val="18"/>
              </w:rPr>
              <w:t>Estado</w:t>
            </w:r>
          </w:p>
        </w:tc>
        <w:tc>
          <w:tcPr>
            <w:tcW w:type="dxa" w:w="1972"/>
            <w:shd w:fill="1F4E79"/>
            <w:tcBorders>
              <w:left w:val="single" w:sz="6" w:color="FFFFFF"/>
              <w:top w:val="single" w:sz="6" w:color="FFFFFF"/>
              <w:right w:val="single" w:sz="6" w:color="FFFFFF"/>
              <w:bottom w:val="single" w:sz="6" w:color="FFFFFF"/>
            </w:tcBorders>
          </w:tcPr>
          <w:p>
            <w:pPr>
              <w:jc w:val="center"/>
            </w:pPr>
            <w:r>
              <w:rPr>
                <w:b/>
                <w:color w:val="FFFFFF"/>
                <w:sz w:val="18"/>
              </w:rPr>
              <w:t>Evidencias</w:t>
            </w:r>
          </w:p>
        </w:tc>
        <w:tc>
          <w:tcPr>
            <w:tcW w:type="dxa" w:w="1972"/>
            <w:shd w:fill="1F4E79"/>
            <w:tcBorders>
              <w:left w:val="single" w:sz="6" w:color="FFFFFF"/>
              <w:top w:val="single" w:sz="6" w:color="FFFFFF"/>
              <w:right w:val="single" w:sz="6" w:color="FFFFFF"/>
              <w:bottom w:val="single" w:sz="6" w:color="FFFFFF"/>
            </w:tcBorders>
          </w:tcPr>
          <w:p>
            <w:pPr>
              <w:jc w:val="center"/>
            </w:pPr>
            <w:r>
              <w:rPr>
                <w:b/>
                <w:color w:val="FFFFFF"/>
                <w:sz w:val="18"/>
              </w:rPr>
              <w:t>Observación</w:t>
            </w:r>
          </w:p>
        </w:tc>
      </w:tr>
      <w:tr>
        <w:tc>
          <w:tcPr>
            <w:tcW w:type="dxa" w:w="1134"/>
            <w:vAlign w:val="center"/>
            <w:shd w:fill="F7FAFC"/>
            <w:tcBorders>
              <w:left w:val="single" w:sz="6" w:color="D9E2F3"/>
              <w:top w:val="single" w:sz="6" w:color="D9E2F3"/>
              <w:right w:val="single" w:sz="6" w:color="D9E2F3"/>
              <w:bottom w:val="single" w:sz="6" w:color="D9E2F3"/>
            </w:tcBorders>
          </w:tcPr>
          <w:p>
            <w:pPr>
              <w:spacing w:before="40" w:after="40"/>
              <w:jc w:val="center"/>
            </w:pPr>
            <w:r>
              <w:rPr>
                <w:color w:val="243B53"/>
                <w:sz w:val="18"/>
              </w:rPr>
              <w:t>9.1</w:t>
            </w:r>
          </w:p>
        </w:tc>
        <w:tc>
          <w:tcPr>
            <w:tcW w:type="dxa" w:w="3402"/>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Monitoreo, medición, análisis y evaluación</w:t>
            </w:r>
          </w:p>
        </w:tc>
        <w:tc>
          <w:tcPr>
            <w:tcW w:type="dxa" w:w="1871"/>
            <w:vAlign w:val="center"/>
            <w:shd w:fill="EAF7EA"/>
            <w:tcBorders>
              <w:left w:val="single" w:sz="6" w:color="D9E2F3"/>
              <w:top w:val="single" w:sz="6" w:color="D9E2F3"/>
              <w:right w:val="single" w:sz="6" w:color="D9E2F3"/>
              <w:bottom w:val="single" w:sz="6" w:color="D9E2F3"/>
            </w:tcBorders>
          </w:tcPr>
          <w:p>
            <w:pPr>
              <w:spacing w:before="40" w:after="40"/>
              <w:jc w:val="center"/>
            </w:pPr>
            <w:r>
              <w:rPr>
                <w:color w:val="243B53"/>
                <w:sz w:val="18"/>
              </w:rPr>
              <w:t>Cumple 6/6</w:t>
            </w:r>
          </w:p>
        </w:tc>
        <w:tc>
          <w:tcPr>
            <w:tcW w:type="dxa" w:w="1191"/>
            <w:vAlign w:val="center"/>
            <w:tcBorders>
              <w:left w:val="single" w:sz="6" w:color="D9E2F3"/>
              <w:top w:val="single" w:sz="6" w:color="D9E2F3"/>
              <w:right w:val="single" w:sz="6" w:color="D9E2F3"/>
              <w:bottom w:val="single" w:sz="6" w:color="D9E2F3"/>
            </w:tcBorders>
          </w:tcPr>
          <w:p>
            <w:pPr>
              <w:spacing w:before="40" w:after="40"/>
              <w:jc w:val="center"/>
            </w:pPr>
            <w:r>
              <w:rPr>
                <w:color w:val="243B53"/>
                <w:sz w:val="18"/>
              </w:rPr>
              <w:t>6</w:t>
            </w:r>
          </w:p>
        </w:tc>
        <w:tc>
          <w:tcPr>
            <w:tcW w:type="dxa" w:w="2268"/>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Monitoreo y métricas</w:t>
            </w:r>
          </w:p>
        </w:tc>
      </w:tr>
      <w:tr>
        <w:tc>
          <w:tcPr>
            <w:tcW w:type="dxa" w:w="1134"/>
            <w:vAlign w:val="center"/>
            <w:shd w:fill="F7FAFC"/>
            <w:tcBorders>
              <w:left w:val="single" w:sz="6" w:color="D9E2F3"/>
              <w:top w:val="single" w:sz="6" w:color="D9E2F3"/>
              <w:right w:val="single" w:sz="6" w:color="D9E2F3"/>
              <w:bottom w:val="single" w:sz="6" w:color="D9E2F3"/>
            </w:tcBorders>
          </w:tcPr>
          <w:p>
            <w:pPr>
              <w:spacing w:before="40" w:after="40"/>
              <w:jc w:val="center"/>
            </w:pPr>
            <w:r>
              <w:rPr>
                <w:color w:val="243B53"/>
                <w:sz w:val="18"/>
              </w:rPr>
              <w:t>9.2.1</w:t>
            </w:r>
          </w:p>
        </w:tc>
        <w:tc>
          <w:tcPr>
            <w:tcW w:type="dxa" w:w="3402"/>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General</w:t>
            </w:r>
          </w:p>
        </w:tc>
        <w:tc>
          <w:tcPr>
            <w:tcW w:type="dxa" w:w="1871"/>
            <w:vAlign w:val="center"/>
            <w:shd w:fill="EAF7EA"/>
            <w:tcBorders>
              <w:left w:val="single" w:sz="6" w:color="D9E2F3"/>
              <w:top w:val="single" w:sz="6" w:color="D9E2F3"/>
              <w:right w:val="single" w:sz="6" w:color="D9E2F3"/>
              <w:bottom w:val="single" w:sz="6" w:color="D9E2F3"/>
            </w:tcBorders>
          </w:tcPr>
          <w:p>
            <w:pPr>
              <w:spacing w:before="40" w:after="40"/>
              <w:jc w:val="center"/>
            </w:pPr>
            <w:r>
              <w:rPr>
                <w:color w:val="243B53"/>
                <w:sz w:val="18"/>
              </w:rPr>
              <w:t>Cumple 2/2</w:t>
            </w:r>
          </w:p>
        </w:tc>
        <w:tc>
          <w:tcPr>
            <w:tcW w:type="dxa" w:w="1191"/>
            <w:vAlign w:val="center"/>
            <w:tcBorders>
              <w:left w:val="single" w:sz="6" w:color="D9E2F3"/>
              <w:top w:val="single" w:sz="6" w:color="D9E2F3"/>
              <w:right w:val="single" w:sz="6" w:color="D9E2F3"/>
              <w:bottom w:val="single" w:sz="6" w:color="D9E2F3"/>
            </w:tcBorders>
          </w:tcPr>
          <w:p>
            <w:pPr>
              <w:spacing w:before="40" w:after="40"/>
              <w:jc w:val="center"/>
            </w:pPr>
            <w:r>
              <w:rPr>
                <w:color w:val="243B53"/>
                <w:sz w:val="18"/>
              </w:rPr>
              <w:t>2</w:t>
            </w:r>
          </w:p>
        </w:tc>
        <w:tc>
          <w:tcPr>
            <w:tcW w:type="dxa" w:w="2268"/>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Auditoría interna</w:t>
            </w:r>
          </w:p>
        </w:tc>
      </w:tr>
      <w:tr>
        <w:tc>
          <w:tcPr>
            <w:tcW w:type="dxa" w:w="1134"/>
            <w:vAlign w:val="center"/>
            <w:shd w:fill="F7FAFC"/>
            <w:tcBorders>
              <w:left w:val="single" w:sz="6" w:color="D9E2F3"/>
              <w:top w:val="single" w:sz="6" w:color="D9E2F3"/>
              <w:right w:val="single" w:sz="6" w:color="D9E2F3"/>
              <w:bottom w:val="single" w:sz="6" w:color="D9E2F3"/>
            </w:tcBorders>
          </w:tcPr>
          <w:p>
            <w:pPr>
              <w:spacing w:before="40" w:after="40"/>
              <w:jc w:val="center"/>
            </w:pPr>
            <w:r>
              <w:rPr>
                <w:color w:val="243B53"/>
                <w:sz w:val="18"/>
              </w:rPr>
              <w:t>9.2.2</w:t>
            </w:r>
          </w:p>
        </w:tc>
        <w:tc>
          <w:tcPr>
            <w:tcW w:type="dxa" w:w="3402"/>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Programa de auditoría interna</w:t>
            </w:r>
          </w:p>
        </w:tc>
        <w:tc>
          <w:tcPr>
            <w:tcW w:type="dxa" w:w="1871"/>
            <w:vAlign w:val="center"/>
            <w:shd w:fill="EAF7EA"/>
            <w:tcBorders>
              <w:left w:val="single" w:sz="6" w:color="D9E2F3"/>
              <w:top w:val="single" w:sz="6" w:color="D9E2F3"/>
              <w:right w:val="single" w:sz="6" w:color="D9E2F3"/>
              <w:bottom w:val="single" w:sz="6" w:color="D9E2F3"/>
            </w:tcBorders>
          </w:tcPr>
          <w:p>
            <w:pPr>
              <w:spacing w:before="40" w:after="40"/>
              <w:jc w:val="center"/>
            </w:pPr>
            <w:r>
              <w:rPr>
                <w:color w:val="243B53"/>
                <w:sz w:val="18"/>
              </w:rPr>
              <w:t>Cumple 6/6</w:t>
            </w:r>
          </w:p>
        </w:tc>
        <w:tc>
          <w:tcPr>
            <w:tcW w:type="dxa" w:w="1191"/>
            <w:vAlign w:val="center"/>
            <w:tcBorders>
              <w:left w:val="single" w:sz="6" w:color="D9E2F3"/>
              <w:top w:val="single" w:sz="6" w:color="D9E2F3"/>
              <w:right w:val="single" w:sz="6" w:color="D9E2F3"/>
              <w:bottom w:val="single" w:sz="6" w:color="D9E2F3"/>
            </w:tcBorders>
          </w:tcPr>
          <w:p>
            <w:pPr>
              <w:spacing w:before="40" w:after="40"/>
              <w:jc w:val="center"/>
            </w:pPr>
            <w:r>
              <w:rPr>
                <w:color w:val="243B53"/>
                <w:sz w:val="18"/>
              </w:rPr>
              <w:t>6</w:t>
            </w:r>
          </w:p>
        </w:tc>
        <w:tc>
          <w:tcPr>
            <w:tcW w:type="dxa" w:w="2268"/>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Auditoría interna</w:t>
            </w:r>
          </w:p>
        </w:tc>
      </w:tr>
      <w:tr>
        <w:tc>
          <w:tcPr>
            <w:tcW w:type="dxa" w:w="1134"/>
            <w:vAlign w:val="center"/>
            <w:shd w:fill="F7FAFC"/>
            <w:tcBorders>
              <w:left w:val="single" w:sz="6" w:color="D9E2F3"/>
              <w:top w:val="single" w:sz="6" w:color="D9E2F3"/>
              <w:right w:val="single" w:sz="6" w:color="D9E2F3"/>
              <w:bottom w:val="single" w:sz="6" w:color="D9E2F3"/>
            </w:tcBorders>
          </w:tcPr>
          <w:p>
            <w:pPr>
              <w:spacing w:before="40" w:after="40"/>
              <w:jc w:val="center"/>
            </w:pPr>
            <w:r>
              <w:rPr>
                <w:color w:val="243B53"/>
                <w:sz w:val="18"/>
              </w:rPr>
              <w:t>9.3.1</w:t>
            </w:r>
          </w:p>
        </w:tc>
        <w:tc>
          <w:tcPr>
            <w:tcW w:type="dxa" w:w="3402"/>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General</w:t>
            </w:r>
          </w:p>
        </w:tc>
        <w:tc>
          <w:tcPr>
            <w:tcW w:type="dxa" w:w="1871"/>
            <w:vAlign w:val="center"/>
            <w:shd w:fill="EAF7EA"/>
            <w:tcBorders>
              <w:left w:val="single" w:sz="6" w:color="D9E2F3"/>
              <w:top w:val="single" w:sz="6" w:color="D9E2F3"/>
              <w:right w:val="single" w:sz="6" w:color="D9E2F3"/>
              <w:bottom w:val="single" w:sz="6" w:color="D9E2F3"/>
            </w:tcBorders>
          </w:tcPr>
          <w:p>
            <w:pPr>
              <w:spacing w:before="40" w:after="40"/>
              <w:jc w:val="center"/>
            </w:pPr>
            <w:r>
              <w:rPr>
                <w:color w:val="243B53"/>
                <w:sz w:val="18"/>
              </w:rPr>
              <w:t>Cumple 1/1</w:t>
            </w:r>
          </w:p>
        </w:tc>
        <w:tc>
          <w:tcPr>
            <w:tcW w:type="dxa" w:w="1191"/>
            <w:vAlign w:val="center"/>
            <w:tcBorders>
              <w:left w:val="single" w:sz="6" w:color="D9E2F3"/>
              <w:top w:val="single" w:sz="6" w:color="D9E2F3"/>
              <w:right w:val="single" w:sz="6" w:color="D9E2F3"/>
              <w:bottom w:val="single" w:sz="6" w:color="D9E2F3"/>
            </w:tcBorders>
          </w:tcPr>
          <w:p>
            <w:pPr>
              <w:spacing w:before="40" w:after="40"/>
              <w:jc w:val="center"/>
            </w:pPr>
            <w:r>
              <w:rPr>
                <w:color w:val="243B53"/>
                <w:sz w:val="18"/>
              </w:rPr>
              <w:t>1</w:t>
            </w:r>
          </w:p>
        </w:tc>
        <w:tc>
          <w:tcPr>
            <w:tcW w:type="dxa" w:w="2268"/>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Revisión por dirección</w:t>
            </w:r>
          </w:p>
        </w:tc>
      </w:tr>
      <w:tr>
        <w:tc>
          <w:tcPr>
            <w:tcW w:type="dxa" w:w="1134"/>
            <w:vAlign w:val="center"/>
            <w:shd w:fill="F7FAFC"/>
            <w:tcBorders>
              <w:left w:val="single" w:sz="6" w:color="D9E2F3"/>
              <w:top w:val="single" w:sz="6" w:color="D9E2F3"/>
              <w:right w:val="single" w:sz="6" w:color="D9E2F3"/>
              <w:bottom w:val="single" w:sz="6" w:color="D9E2F3"/>
            </w:tcBorders>
          </w:tcPr>
          <w:p>
            <w:pPr>
              <w:spacing w:before="40" w:after="40"/>
              <w:jc w:val="center"/>
            </w:pPr>
            <w:r>
              <w:rPr>
                <w:color w:val="243B53"/>
                <w:sz w:val="18"/>
              </w:rPr>
              <w:t>9.3.2</w:t>
            </w:r>
          </w:p>
        </w:tc>
        <w:tc>
          <w:tcPr>
            <w:tcW w:type="dxa" w:w="3402"/>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Insumos para la revisión por la dirección</w:t>
            </w:r>
          </w:p>
        </w:tc>
        <w:tc>
          <w:tcPr>
            <w:tcW w:type="dxa" w:w="1871"/>
            <w:vAlign w:val="center"/>
            <w:shd w:fill="FFF4E5"/>
            <w:tcBorders>
              <w:left w:val="single" w:sz="6" w:color="D9E2F3"/>
              <w:top w:val="single" w:sz="6" w:color="D9E2F3"/>
              <w:right w:val="single" w:sz="6" w:color="D9E2F3"/>
              <w:bottom w:val="single" w:sz="6" w:color="D9E2F3"/>
            </w:tcBorders>
          </w:tcPr>
          <w:p>
            <w:pPr>
              <w:spacing w:before="40" w:after="40"/>
              <w:jc w:val="center"/>
            </w:pPr>
            <w:r>
              <w:rPr>
                <w:color w:val="243B53"/>
                <w:sz w:val="18"/>
              </w:rPr>
              <w:t>Cumple parcialmente 6/7</w:t>
            </w:r>
          </w:p>
        </w:tc>
        <w:tc>
          <w:tcPr>
            <w:tcW w:type="dxa" w:w="1191"/>
            <w:vAlign w:val="center"/>
            <w:tcBorders>
              <w:left w:val="single" w:sz="6" w:color="D9E2F3"/>
              <w:top w:val="single" w:sz="6" w:color="D9E2F3"/>
              <w:right w:val="single" w:sz="6" w:color="D9E2F3"/>
              <w:bottom w:val="single" w:sz="6" w:color="D9E2F3"/>
            </w:tcBorders>
          </w:tcPr>
          <w:p>
            <w:pPr>
              <w:spacing w:before="40" w:after="40"/>
              <w:jc w:val="center"/>
            </w:pPr>
            <w:r>
              <w:rPr>
                <w:color w:val="243B53"/>
                <w:sz w:val="18"/>
              </w:rPr>
              <w:t>7</w:t>
            </w:r>
          </w:p>
        </w:tc>
        <w:tc>
          <w:tcPr>
            <w:tcW w:type="dxa" w:w="2268"/>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Revisión por dirección</w:t>
            </w:r>
          </w:p>
        </w:tc>
      </w:tr>
      <w:tr>
        <w:tc>
          <w:tcPr>
            <w:tcW w:type="dxa" w:w="1134"/>
            <w:vAlign w:val="center"/>
            <w:shd w:fill="F7FAFC"/>
            <w:tcBorders>
              <w:left w:val="single" w:sz="6" w:color="D9E2F3"/>
              <w:top w:val="single" w:sz="6" w:color="D9E2F3"/>
              <w:right w:val="single" w:sz="6" w:color="D9E2F3"/>
              <w:bottom w:val="single" w:sz="6" w:color="D9E2F3"/>
            </w:tcBorders>
          </w:tcPr>
          <w:p>
            <w:pPr>
              <w:spacing w:before="40" w:after="40"/>
              <w:jc w:val="center"/>
            </w:pPr>
            <w:r>
              <w:rPr>
                <w:color w:val="243B53"/>
                <w:sz w:val="18"/>
              </w:rPr>
              <w:t>9.3.3</w:t>
            </w:r>
          </w:p>
        </w:tc>
        <w:tc>
          <w:tcPr>
            <w:tcW w:type="dxa" w:w="3402"/>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Resultados de la revisión por la dirección</w:t>
            </w:r>
          </w:p>
        </w:tc>
        <w:tc>
          <w:tcPr>
            <w:tcW w:type="dxa" w:w="1871"/>
            <w:vAlign w:val="center"/>
            <w:shd w:fill="EAF7EA"/>
            <w:tcBorders>
              <w:left w:val="single" w:sz="6" w:color="D9E2F3"/>
              <w:top w:val="single" w:sz="6" w:color="D9E2F3"/>
              <w:right w:val="single" w:sz="6" w:color="D9E2F3"/>
              <w:bottom w:val="single" w:sz="6" w:color="D9E2F3"/>
            </w:tcBorders>
          </w:tcPr>
          <w:p>
            <w:pPr>
              <w:spacing w:before="40" w:after="40"/>
              <w:jc w:val="center"/>
            </w:pPr>
            <w:r>
              <w:rPr>
                <w:color w:val="243B53"/>
                <w:sz w:val="18"/>
              </w:rPr>
              <w:t>Cumple 2/2</w:t>
            </w:r>
          </w:p>
        </w:tc>
        <w:tc>
          <w:tcPr>
            <w:tcW w:type="dxa" w:w="1191"/>
            <w:vAlign w:val="center"/>
            <w:tcBorders>
              <w:left w:val="single" w:sz="6" w:color="D9E2F3"/>
              <w:top w:val="single" w:sz="6" w:color="D9E2F3"/>
              <w:right w:val="single" w:sz="6" w:color="D9E2F3"/>
              <w:bottom w:val="single" w:sz="6" w:color="D9E2F3"/>
            </w:tcBorders>
          </w:tcPr>
          <w:p>
            <w:pPr>
              <w:spacing w:before="40" w:after="40"/>
              <w:jc w:val="center"/>
            </w:pPr>
            <w:r>
              <w:rPr>
                <w:color w:val="243B53"/>
                <w:sz w:val="18"/>
              </w:rPr>
              <w:t>2</w:t>
            </w:r>
          </w:p>
        </w:tc>
        <w:tc>
          <w:tcPr>
            <w:tcW w:type="dxa" w:w="2268"/>
            <w:vAlign w:val="center"/>
            <w:tcBorders>
              <w:left w:val="single" w:sz="6" w:color="D9E2F3"/>
              <w:top w:val="single" w:sz="6" w:color="D9E2F3"/>
              <w:right w:val="single" w:sz="6" w:color="D9E2F3"/>
              <w:bottom w:val="single" w:sz="6" w:color="D9E2F3"/>
            </w:tcBorders>
          </w:tcPr>
          <w:p>
            <w:pPr>
              <w:spacing w:before="40" w:after="40"/>
              <w:jc w:val="left"/>
            </w:pPr>
            <w:r>
              <w:rPr>
                <w:color w:val="243B53"/>
                <w:sz w:val="18"/>
              </w:rPr>
              <w:t>Revisión por dirección</w:t>
            </w:r>
          </w:p>
        </w:tc>
      </w:tr>
    </w:tbl>
    <w:p>
      <w:pPr>
        <w:pStyle w:val="Heading1"/>
        <w:pBdr>
          <w:bottom w:val="single" w:sz="8" w:space="1" w:color="B8CCE4"/>
        </w:pBdr>
      </w:pPr>
      <w:r>
        <w:t>Detalle por control</w:t>
      </w:r>
    </w:p>
    <w:tbl>
      <w:tblPr>
        <w:tblW w:type="auto" w:w="0"/>
        <w:jc w:val="center"/>
        <w:tblLayout w:type="fixed"/>
        <w:tblLook w:firstColumn="1" w:firstRow="1" w:lastColumn="0" w:lastRow="0" w:noHBand="0" w:noVBand="1" w:val="04A0"/>
      </w:tblPr>
      <w:tblGrid>
        <w:gridCol w:w="6520"/>
        <w:gridCol w:w="2835"/>
      </w:tblGrid>
      <w:tr>
        <w:tc>
          <w:tcPr>
            <w:tcW w:type="dxa" w:w="4929"/>
            <w:shd w:fill="EAF2F8"/>
            <w:tcBorders>
              <w:left w:val="single" w:sz="10" w:color="D9E2F3"/>
              <w:top w:val="single" w:sz="10" w:color="D9E2F3"/>
              <w:right w:val="single" w:sz="10" w:color="D9E2F3"/>
              <w:bottom w:val="single" w:sz="10" w:color="D9E2F3"/>
            </w:tcBorders>
          </w:tcPr>
          <w:p>
            <w:pPr>
              <w:spacing w:before="80" w:after="80"/>
            </w:pPr>
            <w:r>
              <w:rPr>
                <w:b/>
                <w:color w:val="17324D"/>
                <w:sz w:val="24"/>
              </w:rPr>
              <w:t>9.1  Monitoreo, medición, análisis y evaluación</w:t>
            </w:r>
          </w:p>
        </w:tc>
        <w:tc>
          <w:tcPr>
            <w:tcW w:type="dxa" w:w="4929"/>
            <w:shd w:fill="EAF7EA"/>
            <w:tcBorders>
              <w:left w:val="single" w:sz="10" w:color="D9E2F3"/>
              <w:top w:val="single" w:sz="10" w:color="D9E2F3"/>
              <w:right w:val="single" w:sz="10" w:color="D9E2F3"/>
              <w:bottom w:val="single" w:sz="10" w:color="D9E2F3"/>
            </w:tcBorders>
          </w:tcPr>
          <w:p>
            <w:pPr>
              <w:spacing w:before="120" w:after="120"/>
              <w:jc w:val="center"/>
            </w:pPr>
            <w:r>
              <w:rPr>
                <w:b/>
                <w:color w:val="17324D"/>
                <w:sz w:val="20"/>
              </w:rPr>
              <w:t>Cumple 6/6</w:t>
            </w:r>
          </w:p>
        </w:tc>
      </w:tr>
    </w:tbl>
    <w:tbl>
      <w:tblPr>
        <w:tblW w:type="auto" w:w="0"/>
        <w:jc w:val="center"/>
        <w:tblLayout w:type="fixed"/>
        <w:tblLook w:firstColumn="1" w:firstRow="1" w:lastColumn="0" w:lastRow="0" w:noHBand="0" w:noVBand="1" w:val="04A0"/>
      </w:tblPr>
      <w:tblGrid>
        <w:gridCol w:w="4649"/>
        <w:gridCol w:w="4706"/>
      </w:tblGrid>
      <w:tr>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Clasificación: </w:t>
            </w:r>
            <w:r>
              <w:rPr>
                <w:color w:val="334E68"/>
                <w:sz w:val="18"/>
              </w:rPr>
              <w:t>Cláusula de evaluación del desempeño</w:t>
            </w:r>
          </w:p>
        </w:tc>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Volumen de evidencias: </w:t>
            </w:r>
            <w:r>
              <w:rPr>
                <w:color w:val="334E68"/>
                <w:sz w:val="18"/>
              </w:rPr>
              <w:t>6 documento(s) o evidencia(s) referida(s)</w:t>
            </w:r>
          </w:p>
        </w:tc>
      </w:tr>
    </w:tbl>
    <w:p>
      <w:pPr>
        <w:pStyle w:val="Heading2"/>
      </w:pPr>
      <w:r>
        <w:t>Descripción del control</w:t>
      </w:r>
    </w:p>
    <w:p>
      <w:pPr>
        <w:spacing w:line="269" w:lineRule="auto" w:after="120"/>
      </w:pPr>
      <w:r>
        <w:rPr>
          <w:color w:val="243B53"/>
          <w:sz w:val="20"/>
        </w:rPr>
        <w:t>La organización debe determinar: a) que necesita ser monitoreado y medido, incluyendo los procesos y los controles de seguridad de la información; b) los métodos de monitoreo, medición, análisis y evaluación son necesarios para garantizar los resultados válidos. Los métodos seleccionados deben producir resultados comparables y reproducibles para que se consideren válidos. c) cuando debe llevarse a cabo el monitoreo y medición; d) ¿quién debe monitorear y medir?; e) cuando los resultados del monitoreo y medición deben ser analizados y evaluados; y f) ¿quién debe analizar y evaluar los resultados? La información documentada deberá estar disponible como evidencia de los resultados. La organización debe evaluar el desempeño de la seguridad de la información y la eficacia del Sistema de Gestión de Seguridad de la Información.</w:t>
      </w:r>
    </w:p>
    <w:p>
      <w:pPr>
        <w:pStyle w:val="Heading2"/>
      </w:pPr>
      <w:r>
        <w:t>Evidencias asociadas</w:t>
      </w:r>
    </w:p>
    <w:tbl>
      <w:tblPr>
        <w:tblW w:type="auto" w:w="0"/>
        <w:jc w:val="center"/>
        <w:tblLayout w:type="fixed"/>
        <w:tblLook w:firstColumn="1" w:firstRow="1" w:lastColumn="0" w:lastRow="0" w:noHBand="0" w:noVBand="1" w:val="04A0"/>
      </w:tblPr>
      <w:tblGrid>
        <w:gridCol w:w="9354"/>
      </w:tblGrid>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 la Metodología de Indicadores de Seguridad</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aprobación de la Metodología de Indicadores de Seguridad</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comunicación de la Metodología de Indicadores de Seguridad</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Listado de Métricas e Indicadores</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aprobación del Listado de Métricas e Indicadores</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comunicación del Listado de Métricas e Indicadores</w:t>
            </w:r>
          </w:p>
        </w:tc>
      </w:tr>
    </w:tbl>
    <w:p>
      <w:pPr>
        <w:spacing w:after="40"/>
      </w:pPr>
    </w:p>
    <w:tbl>
      <w:tblPr>
        <w:tblW w:type="auto" w:w="0"/>
        <w:jc w:val="center"/>
        <w:tblLayout w:type="fixed"/>
        <w:tblLook w:firstColumn="1" w:firstRow="1" w:lastColumn="0" w:lastRow="0" w:noHBand="0" w:noVBand="1" w:val="04A0"/>
      </w:tblPr>
      <w:tblGrid>
        <w:gridCol w:w="6520"/>
        <w:gridCol w:w="2835"/>
      </w:tblGrid>
      <w:tr>
        <w:tc>
          <w:tcPr>
            <w:tcW w:type="dxa" w:w="4929"/>
            <w:shd w:fill="EAF2F8"/>
            <w:tcBorders>
              <w:left w:val="single" w:sz="10" w:color="D9E2F3"/>
              <w:top w:val="single" w:sz="10" w:color="D9E2F3"/>
              <w:right w:val="single" w:sz="10" w:color="D9E2F3"/>
              <w:bottom w:val="single" w:sz="10" w:color="D9E2F3"/>
            </w:tcBorders>
          </w:tcPr>
          <w:p>
            <w:pPr>
              <w:spacing w:before="80" w:after="80"/>
            </w:pPr>
            <w:r>
              <w:rPr>
                <w:b/>
                <w:color w:val="17324D"/>
                <w:sz w:val="24"/>
              </w:rPr>
              <w:t>9.2.1  General</w:t>
            </w:r>
          </w:p>
        </w:tc>
        <w:tc>
          <w:tcPr>
            <w:tcW w:type="dxa" w:w="4929"/>
            <w:shd w:fill="EAF7EA"/>
            <w:tcBorders>
              <w:left w:val="single" w:sz="10" w:color="D9E2F3"/>
              <w:top w:val="single" w:sz="10" w:color="D9E2F3"/>
              <w:right w:val="single" w:sz="10" w:color="D9E2F3"/>
              <w:bottom w:val="single" w:sz="10" w:color="D9E2F3"/>
            </w:tcBorders>
          </w:tcPr>
          <w:p>
            <w:pPr>
              <w:spacing w:before="120" w:after="120"/>
              <w:jc w:val="center"/>
            </w:pPr>
            <w:r>
              <w:rPr>
                <w:b/>
                <w:color w:val="17324D"/>
                <w:sz w:val="20"/>
              </w:rPr>
              <w:t>Cumple 2/2</w:t>
            </w:r>
          </w:p>
        </w:tc>
      </w:tr>
    </w:tbl>
    <w:tbl>
      <w:tblPr>
        <w:tblW w:type="auto" w:w="0"/>
        <w:jc w:val="center"/>
        <w:tblLayout w:type="fixed"/>
        <w:tblLook w:firstColumn="1" w:firstRow="1" w:lastColumn="0" w:lastRow="0" w:noHBand="0" w:noVBand="1" w:val="04A0"/>
      </w:tblPr>
      <w:tblGrid>
        <w:gridCol w:w="4649"/>
        <w:gridCol w:w="4706"/>
      </w:tblGrid>
      <w:tr>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Clasificación: </w:t>
            </w:r>
            <w:r>
              <w:rPr>
                <w:color w:val="334E68"/>
                <w:sz w:val="18"/>
              </w:rPr>
              <w:t>Cláusula de evaluación del desempeño</w:t>
            </w:r>
          </w:p>
        </w:tc>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Volumen de evidencias: </w:t>
            </w:r>
            <w:r>
              <w:rPr>
                <w:color w:val="334E68"/>
                <w:sz w:val="18"/>
              </w:rPr>
              <w:t>2 documento(s) o evidencia(s) referida(s)</w:t>
            </w:r>
          </w:p>
        </w:tc>
      </w:tr>
    </w:tbl>
    <w:p>
      <w:pPr>
        <w:pStyle w:val="Heading2"/>
      </w:pPr>
      <w:r>
        <w:t>Descripción del control</w:t>
      </w:r>
    </w:p>
    <w:p>
      <w:pPr>
        <w:spacing w:line="269" w:lineRule="auto" w:after="120"/>
      </w:pPr>
      <w:r>
        <w:rPr>
          <w:color w:val="243B53"/>
          <w:sz w:val="20"/>
        </w:rPr>
        <w:t>La organización debe realizar auditorías internas a intervalos planificados para proporcionar información sobre si el Sistema de Gestión de Seguridad de la Información: a) se ajusta a: 1) los requisitos propios de la organización para su Sistema de Gestión de Seguridad de la Información; 2) los requisitos de este Proyecto de Norma Mexicana; b) se implementa y mantiene de manera efectivamente.</w:t>
      </w:r>
    </w:p>
    <w:p>
      <w:pPr>
        <w:pStyle w:val="Heading2"/>
      </w:pPr>
      <w:r>
        <w:t>Evidencias asociadas</w:t>
      </w:r>
    </w:p>
    <w:tbl>
      <w:tblPr>
        <w:tblW w:type="auto" w:w="0"/>
        <w:jc w:val="center"/>
        <w:tblLayout w:type="fixed"/>
        <w:tblLook w:firstColumn="1" w:firstRow="1" w:lastColumn="0" w:lastRow="0" w:noHBand="0" w:noVBand="1" w:val="04A0"/>
      </w:tblPr>
      <w:tblGrid>
        <w:gridCol w:w="9354"/>
      </w:tblGrid>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Plan y Programa de Auditoría</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reporte de auditoría interna</w:t>
            </w:r>
          </w:p>
        </w:tc>
      </w:tr>
    </w:tbl>
    <w:p>
      <w:pPr>
        <w:spacing w:after="40"/>
      </w:pPr>
    </w:p>
    <w:tbl>
      <w:tblPr>
        <w:tblW w:type="auto" w:w="0"/>
        <w:jc w:val="center"/>
        <w:tblLayout w:type="fixed"/>
        <w:tblLook w:firstColumn="1" w:firstRow="1" w:lastColumn="0" w:lastRow="0" w:noHBand="0" w:noVBand="1" w:val="04A0"/>
      </w:tblPr>
      <w:tblGrid>
        <w:gridCol w:w="6520"/>
        <w:gridCol w:w="2835"/>
      </w:tblGrid>
      <w:tr>
        <w:tc>
          <w:tcPr>
            <w:tcW w:type="dxa" w:w="4929"/>
            <w:shd w:fill="EAF2F8"/>
            <w:tcBorders>
              <w:left w:val="single" w:sz="10" w:color="D9E2F3"/>
              <w:top w:val="single" w:sz="10" w:color="D9E2F3"/>
              <w:right w:val="single" w:sz="10" w:color="D9E2F3"/>
              <w:bottom w:val="single" w:sz="10" w:color="D9E2F3"/>
            </w:tcBorders>
          </w:tcPr>
          <w:p>
            <w:pPr>
              <w:spacing w:before="80" w:after="80"/>
            </w:pPr>
            <w:r>
              <w:rPr>
                <w:b/>
                <w:color w:val="17324D"/>
                <w:sz w:val="24"/>
              </w:rPr>
              <w:t>9.2.2  Programa de auditoría interna</w:t>
            </w:r>
          </w:p>
        </w:tc>
        <w:tc>
          <w:tcPr>
            <w:tcW w:type="dxa" w:w="4929"/>
            <w:shd w:fill="EAF7EA"/>
            <w:tcBorders>
              <w:left w:val="single" w:sz="10" w:color="D9E2F3"/>
              <w:top w:val="single" w:sz="10" w:color="D9E2F3"/>
              <w:right w:val="single" w:sz="10" w:color="D9E2F3"/>
              <w:bottom w:val="single" w:sz="10" w:color="D9E2F3"/>
            </w:tcBorders>
          </w:tcPr>
          <w:p>
            <w:pPr>
              <w:spacing w:before="120" w:after="120"/>
              <w:jc w:val="center"/>
            </w:pPr>
            <w:r>
              <w:rPr>
                <w:b/>
                <w:color w:val="17324D"/>
                <w:sz w:val="20"/>
              </w:rPr>
              <w:t>Cumple 6/6</w:t>
            </w:r>
          </w:p>
        </w:tc>
      </w:tr>
    </w:tbl>
    <w:tbl>
      <w:tblPr>
        <w:tblW w:type="auto" w:w="0"/>
        <w:jc w:val="center"/>
        <w:tblLayout w:type="fixed"/>
        <w:tblLook w:firstColumn="1" w:firstRow="1" w:lastColumn="0" w:lastRow="0" w:noHBand="0" w:noVBand="1" w:val="04A0"/>
      </w:tblPr>
      <w:tblGrid>
        <w:gridCol w:w="4649"/>
        <w:gridCol w:w="4706"/>
      </w:tblGrid>
      <w:tr>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Clasificación: </w:t>
            </w:r>
            <w:r>
              <w:rPr>
                <w:color w:val="334E68"/>
                <w:sz w:val="18"/>
              </w:rPr>
              <w:t>Cláusula de evaluación del desempeño</w:t>
            </w:r>
          </w:p>
        </w:tc>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Volumen de evidencias: </w:t>
            </w:r>
            <w:r>
              <w:rPr>
                <w:color w:val="334E68"/>
                <w:sz w:val="18"/>
              </w:rPr>
              <w:t>6 documento(s) o evidencia(s) referida(s)</w:t>
            </w:r>
          </w:p>
        </w:tc>
      </w:tr>
    </w:tbl>
    <w:p>
      <w:pPr>
        <w:pStyle w:val="Heading2"/>
      </w:pPr>
      <w:r>
        <w:t>Descripción del control</w:t>
      </w:r>
    </w:p>
    <w:p>
      <w:pPr>
        <w:spacing w:line="269" w:lineRule="auto" w:after="120"/>
      </w:pPr>
      <w:r>
        <w:rPr>
          <w:color w:val="243B53"/>
          <w:sz w:val="20"/>
        </w:rPr>
        <w:t>La organización debe planificar, establecer, implementar y mantener uno o varios programas de auditoría, incluyendo la frecuencia, los métodos, las responsabilidades, los requisitos de planificación y la elaboración de informes. Al establecer los programas de auditoría interna, la organización debe considerar la importancia de los procesos en cuestión y los resultados de auditorías anteriores. La organización deberá: a) definir los criterios de auditoría y el alcance de cada auditoría; b) seleccionar auditores y realizar auditorías que garanticen la objetividad y la imparcialidad del proceso de auditoría; c) asegurarse de que los resultados de las auditorías se informen a la dirección pertinente. La información documentada deberá estar disponible como evidencia de la implementación del programa(s) de auditoría y los resultados de la auditoría.</w:t>
      </w:r>
    </w:p>
    <w:p>
      <w:pPr>
        <w:pStyle w:val="Heading2"/>
      </w:pPr>
      <w:r>
        <w:t>Evidencias asociadas</w:t>
      </w:r>
    </w:p>
    <w:tbl>
      <w:tblPr>
        <w:tblW w:type="auto" w:w="0"/>
        <w:jc w:val="center"/>
        <w:tblLayout w:type="fixed"/>
        <w:tblLook w:firstColumn="1" w:firstRow="1" w:lastColumn="0" w:lastRow="0" w:noHBand="0" w:noVBand="1" w:val="04A0"/>
      </w:tblPr>
      <w:tblGrid>
        <w:gridCol w:w="9354"/>
      </w:tblGrid>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 la Política de SGSI</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reporte de auditoría interna</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Plan y Programa de Auditoría</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aprobación del Plan y Programa de Auditoría</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comunicación del Plan y Programa de Auditoría</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comunciación de los reportes de auditoría interna</w:t>
            </w:r>
          </w:p>
        </w:tc>
      </w:tr>
    </w:tbl>
    <w:p>
      <w:pPr>
        <w:spacing w:after="40"/>
      </w:pPr>
    </w:p>
    <w:tbl>
      <w:tblPr>
        <w:tblW w:type="auto" w:w="0"/>
        <w:jc w:val="center"/>
        <w:tblLayout w:type="fixed"/>
        <w:tblLook w:firstColumn="1" w:firstRow="1" w:lastColumn="0" w:lastRow="0" w:noHBand="0" w:noVBand="1" w:val="04A0"/>
      </w:tblPr>
      <w:tblGrid>
        <w:gridCol w:w="6520"/>
        <w:gridCol w:w="2835"/>
      </w:tblGrid>
      <w:tr>
        <w:tc>
          <w:tcPr>
            <w:tcW w:type="dxa" w:w="4929"/>
            <w:shd w:fill="EAF2F8"/>
            <w:tcBorders>
              <w:left w:val="single" w:sz="10" w:color="D9E2F3"/>
              <w:top w:val="single" w:sz="10" w:color="D9E2F3"/>
              <w:right w:val="single" w:sz="10" w:color="D9E2F3"/>
              <w:bottom w:val="single" w:sz="10" w:color="D9E2F3"/>
            </w:tcBorders>
          </w:tcPr>
          <w:p>
            <w:pPr>
              <w:spacing w:before="80" w:after="80"/>
            </w:pPr>
            <w:r>
              <w:rPr>
                <w:b/>
                <w:color w:val="17324D"/>
                <w:sz w:val="24"/>
              </w:rPr>
              <w:t>9.3.1  General</w:t>
            </w:r>
          </w:p>
        </w:tc>
        <w:tc>
          <w:tcPr>
            <w:tcW w:type="dxa" w:w="4929"/>
            <w:shd w:fill="EAF7EA"/>
            <w:tcBorders>
              <w:left w:val="single" w:sz="10" w:color="D9E2F3"/>
              <w:top w:val="single" w:sz="10" w:color="D9E2F3"/>
              <w:right w:val="single" w:sz="10" w:color="D9E2F3"/>
              <w:bottom w:val="single" w:sz="10" w:color="D9E2F3"/>
            </w:tcBorders>
          </w:tcPr>
          <w:p>
            <w:pPr>
              <w:spacing w:before="120" w:after="120"/>
              <w:jc w:val="center"/>
            </w:pPr>
            <w:r>
              <w:rPr>
                <w:b/>
                <w:color w:val="17324D"/>
                <w:sz w:val="20"/>
              </w:rPr>
              <w:t>Cumple 1/1</w:t>
            </w:r>
          </w:p>
        </w:tc>
      </w:tr>
    </w:tbl>
    <w:tbl>
      <w:tblPr>
        <w:tblW w:type="auto" w:w="0"/>
        <w:jc w:val="center"/>
        <w:tblLayout w:type="fixed"/>
        <w:tblLook w:firstColumn="1" w:firstRow="1" w:lastColumn="0" w:lastRow="0" w:noHBand="0" w:noVBand="1" w:val="04A0"/>
      </w:tblPr>
      <w:tblGrid>
        <w:gridCol w:w="4649"/>
        <w:gridCol w:w="4706"/>
      </w:tblGrid>
      <w:tr>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Clasificación: </w:t>
            </w:r>
            <w:r>
              <w:rPr>
                <w:color w:val="334E68"/>
                <w:sz w:val="18"/>
              </w:rPr>
              <w:t>Cláusula de evaluación del desempeño</w:t>
            </w:r>
          </w:p>
        </w:tc>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Volumen de evidencias: </w:t>
            </w:r>
            <w:r>
              <w:rPr>
                <w:color w:val="334E68"/>
                <w:sz w:val="18"/>
              </w:rPr>
              <w:t>1 documento(s) o evidencia(s) referida(s)</w:t>
            </w:r>
          </w:p>
        </w:tc>
      </w:tr>
    </w:tbl>
    <w:p>
      <w:pPr>
        <w:pStyle w:val="Heading2"/>
      </w:pPr>
      <w:r>
        <w:t>Descripción del control</w:t>
      </w:r>
    </w:p>
    <w:p>
      <w:pPr>
        <w:spacing w:line="269" w:lineRule="auto" w:after="120"/>
      </w:pPr>
      <w:r>
        <w:rPr>
          <w:color w:val="243B53"/>
          <w:sz w:val="20"/>
        </w:rPr>
        <w:t>La alta dirección debe revisar el Sistema de Gestión de Seguridad de la Información de la organización, a intervalos planeados para asegurar su continuad, vigencia, adecuación y eficacia.</w:t>
      </w:r>
    </w:p>
    <w:p>
      <w:pPr>
        <w:pStyle w:val="Heading2"/>
      </w:pPr>
      <w:r>
        <w:t>Evidencias asociadas</w:t>
      </w:r>
    </w:p>
    <w:tbl>
      <w:tblPr>
        <w:tblW w:type="auto" w:w="0"/>
        <w:jc w:val="center"/>
        <w:tblLayout w:type="fixed"/>
        <w:tblLook w:firstColumn="1" w:firstRow="1" w:lastColumn="0" w:lastRow="0" w:noHBand="0" w:noVBand="1" w:val="04A0"/>
      </w:tblPr>
      <w:tblGrid>
        <w:gridCol w:w="9354"/>
      </w:tblGrid>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Plan y Programa de Auditoría</w:t>
            </w:r>
          </w:p>
        </w:tc>
      </w:tr>
    </w:tbl>
    <w:p>
      <w:pPr>
        <w:spacing w:after="40"/>
      </w:pPr>
    </w:p>
    <w:tbl>
      <w:tblPr>
        <w:tblW w:type="auto" w:w="0"/>
        <w:jc w:val="center"/>
        <w:tblLayout w:type="fixed"/>
        <w:tblLook w:firstColumn="1" w:firstRow="1" w:lastColumn="0" w:lastRow="0" w:noHBand="0" w:noVBand="1" w:val="04A0"/>
      </w:tblPr>
      <w:tblGrid>
        <w:gridCol w:w="6520"/>
        <w:gridCol w:w="2835"/>
      </w:tblGrid>
      <w:tr>
        <w:tc>
          <w:tcPr>
            <w:tcW w:type="dxa" w:w="4929"/>
            <w:shd w:fill="EAF2F8"/>
            <w:tcBorders>
              <w:left w:val="single" w:sz="10" w:color="D9E2F3"/>
              <w:top w:val="single" w:sz="10" w:color="D9E2F3"/>
              <w:right w:val="single" w:sz="10" w:color="D9E2F3"/>
              <w:bottom w:val="single" w:sz="10" w:color="D9E2F3"/>
            </w:tcBorders>
          </w:tcPr>
          <w:p>
            <w:pPr>
              <w:spacing w:before="80" w:after="80"/>
            </w:pPr>
            <w:r>
              <w:rPr>
                <w:b/>
                <w:color w:val="17324D"/>
                <w:sz w:val="24"/>
              </w:rPr>
              <w:t>9.3.2  Insumos para la revisión por la dirección</w:t>
            </w:r>
          </w:p>
        </w:tc>
        <w:tc>
          <w:tcPr>
            <w:tcW w:type="dxa" w:w="4929"/>
            <w:shd w:fill="FFF4E5"/>
            <w:tcBorders>
              <w:left w:val="single" w:sz="10" w:color="D9E2F3"/>
              <w:top w:val="single" w:sz="10" w:color="D9E2F3"/>
              <w:right w:val="single" w:sz="10" w:color="D9E2F3"/>
              <w:bottom w:val="single" w:sz="10" w:color="D9E2F3"/>
            </w:tcBorders>
          </w:tcPr>
          <w:p>
            <w:pPr>
              <w:spacing w:before="120" w:after="120"/>
              <w:jc w:val="center"/>
            </w:pPr>
            <w:r>
              <w:rPr>
                <w:b/>
                <w:color w:val="8A5A00"/>
                <w:sz w:val="20"/>
              </w:rPr>
              <w:t>Cumple parcialmente 6/7</w:t>
            </w:r>
          </w:p>
        </w:tc>
      </w:tr>
    </w:tbl>
    <w:tbl>
      <w:tblPr>
        <w:tblW w:type="auto" w:w="0"/>
        <w:jc w:val="center"/>
        <w:tblLayout w:type="fixed"/>
        <w:tblLook w:firstColumn="1" w:firstRow="1" w:lastColumn="0" w:lastRow="0" w:noHBand="0" w:noVBand="1" w:val="04A0"/>
      </w:tblPr>
      <w:tblGrid>
        <w:gridCol w:w="4649"/>
        <w:gridCol w:w="4706"/>
      </w:tblGrid>
      <w:tr>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Clasificación: </w:t>
            </w:r>
            <w:r>
              <w:rPr>
                <w:color w:val="334E68"/>
                <w:sz w:val="18"/>
              </w:rPr>
              <w:t>Cláusula de evaluación del desempeño</w:t>
            </w:r>
          </w:p>
        </w:tc>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Volumen de evidencias: </w:t>
            </w:r>
            <w:r>
              <w:rPr>
                <w:color w:val="334E68"/>
                <w:sz w:val="18"/>
              </w:rPr>
              <w:t>7 documento(s) o evidencia(s) referida(s)</w:t>
            </w:r>
          </w:p>
        </w:tc>
      </w:tr>
    </w:tbl>
    <w:p>
      <w:pPr>
        <w:pStyle w:val="Heading2"/>
      </w:pPr>
      <w:r>
        <w:t>Descripción del control</w:t>
      </w:r>
    </w:p>
    <w:p>
      <w:pPr>
        <w:spacing w:line="269" w:lineRule="auto" w:after="120"/>
      </w:pPr>
      <w:r>
        <w:rPr>
          <w:color w:val="243B53"/>
          <w:sz w:val="20"/>
        </w:rPr>
        <w:t>La revisión por la dirección debe incluir la consideración de: a) el estatus de las acciones previas de las revisiones por la dirección; b) los cambios en temas externos e internos que son relevantes para el Sistema de Gestión de Seguridad de la Información; c) cambios en las necesidades y expectativas de las partes interesadas que son relevantes para el sistema de gestión de seguridad de la información d) los resultados retroalimentación sobre el desempeño de la seguridad de la información, incluyendo las tendencias en: 1) no conformidades y acciones correctivas; 2) monitoreo y resultados de medición; 3) resultados de la auditoría; y 4) cumplimiento de los objetivos de seguridad de la información; e) retroalimentación de las partes interesadas; f) resultados de la valoración del riesgo y el estatus del plan de tratamiento de riesgo; y g) las oportunidades para la mejora continua;</w:t>
      </w:r>
    </w:p>
    <w:p>
      <w:pPr>
        <w:pStyle w:val="Heading2"/>
      </w:pPr>
      <w:r>
        <w:t>Evidencias asociadas</w:t>
      </w:r>
    </w:p>
    <w:tbl>
      <w:tblPr>
        <w:tblW w:type="auto" w:w="0"/>
        <w:jc w:val="center"/>
        <w:tblLayout w:type="fixed"/>
        <w:tblLook w:firstColumn="1" w:firstRow="1" w:lastColumn="0" w:lastRow="0" w:noHBand="0" w:noVBand="1" w:val="04A0"/>
      </w:tblPr>
      <w:tblGrid>
        <w:gridCol w:w="9354"/>
      </w:tblGrid>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 la Política de SGSI</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del histórico de versiones y cambios realizados</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Plan de Seguridad de la Información</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Plan de Tratamiento de Acciones Correctivas y de Mejora</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Listado de Métricas e Indicadores</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Informe del Análisis de Riesgo</w:t>
            </w:r>
          </w:p>
        </w:tc>
      </w:tr>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Documento final del Informe General de Auditoría Interna</w:t>
            </w:r>
          </w:p>
        </w:tc>
      </w:tr>
    </w:tbl>
    <w:tbl>
      <w:tblPr>
        <w:tblW w:type="auto" w:w="0"/>
        <w:jc w:val="center"/>
        <w:tblLayout w:type="fixed"/>
        <w:tblLook w:firstColumn="1" w:firstRow="1" w:lastColumn="0" w:lastRow="0" w:noHBand="0" w:noVBand="1" w:val="04A0"/>
      </w:tblPr>
      <w:tblGrid>
        <w:gridCol w:w="9354"/>
      </w:tblGrid>
      <w:tr>
        <w:tc>
          <w:tcPr>
            <w:tcW w:type="dxa" w:w="9858"/>
            <w:shd w:fill="FFF8E8"/>
            <w:tcBorders>
              <w:left w:val="single" w:sz="16" w:color="F0B429"/>
            </w:tcBorders>
          </w:tcPr>
          <w:p>
            <w:pPr>
              <w:spacing w:before="80" w:after="80"/>
            </w:pPr>
            <w:r>
              <w:rPr>
                <w:b/>
                <w:color w:val="8A5A00"/>
              </w:rPr>
              <w:t xml:space="preserve">Observación puntual. </w:t>
            </w:r>
            <w:r>
              <w:rPr>
                <w:color w:val="7C5E10"/>
              </w:rPr>
              <w:t>Este control se reporta como "cumple parcialmente 6/7", por lo que conviene validar qué insumo falta o no quedó plenamente evidenciado en la extracción.</w:t>
            </w:r>
          </w:p>
        </w:tc>
      </w:tr>
    </w:tbl>
    <w:p>
      <w:pPr>
        <w:spacing w:after="40"/>
      </w:pPr>
    </w:p>
    <w:tbl>
      <w:tblPr>
        <w:tblW w:type="auto" w:w="0"/>
        <w:jc w:val="center"/>
        <w:tblLayout w:type="fixed"/>
        <w:tblLook w:firstColumn="1" w:firstRow="1" w:lastColumn="0" w:lastRow="0" w:noHBand="0" w:noVBand="1" w:val="04A0"/>
      </w:tblPr>
      <w:tblGrid>
        <w:gridCol w:w="6520"/>
        <w:gridCol w:w="2835"/>
      </w:tblGrid>
      <w:tr>
        <w:tc>
          <w:tcPr>
            <w:tcW w:type="dxa" w:w="4929"/>
            <w:shd w:fill="EAF2F8"/>
            <w:tcBorders>
              <w:left w:val="single" w:sz="10" w:color="D9E2F3"/>
              <w:top w:val="single" w:sz="10" w:color="D9E2F3"/>
              <w:right w:val="single" w:sz="10" w:color="D9E2F3"/>
              <w:bottom w:val="single" w:sz="10" w:color="D9E2F3"/>
            </w:tcBorders>
          </w:tcPr>
          <w:p>
            <w:pPr>
              <w:spacing w:before="80" w:after="80"/>
            </w:pPr>
            <w:r>
              <w:rPr>
                <w:b/>
                <w:color w:val="17324D"/>
                <w:sz w:val="24"/>
              </w:rPr>
              <w:t>9.3.3  Resultados de la revisión por la dirección</w:t>
            </w:r>
          </w:p>
        </w:tc>
        <w:tc>
          <w:tcPr>
            <w:tcW w:type="dxa" w:w="4929"/>
            <w:shd w:fill="EAF7EA"/>
            <w:tcBorders>
              <w:left w:val="single" w:sz="10" w:color="D9E2F3"/>
              <w:top w:val="single" w:sz="10" w:color="D9E2F3"/>
              <w:right w:val="single" w:sz="10" w:color="D9E2F3"/>
              <w:bottom w:val="single" w:sz="10" w:color="D9E2F3"/>
            </w:tcBorders>
          </w:tcPr>
          <w:p>
            <w:pPr>
              <w:spacing w:before="120" w:after="120"/>
              <w:jc w:val="center"/>
            </w:pPr>
            <w:r>
              <w:rPr>
                <w:b/>
                <w:color w:val="17324D"/>
                <w:sz w:val="20"/>
              </w:rPr>
              <w:t>Cumple 2/2</w:t>
            </w:r>
          </w:p>
        </w:tc>
      </w:tr>
    </w:tbl>
    <w:tbl>
      <w:tblPr>
        <w:tblW w:type="auto" w:w="0"/>
        <w:jc w:val="center"/>
        <w:tblLayout w:type="fixed"/>
        <w:tblLook w:firstColumn="1" w:firstRow="1" w:lastColumn="0" w:lastRow="0" w:noHBand="0" w:noVBand="1" w:val="04A0"/>
      </w:tblPr>
      <w:tblGrid>
        <w:gridCol w:w="4649"/>
        <w:gridCol w:w="4706"/>
      </w:tblGrid>
      <w:tr>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Clasificación: </w:t>
            </w:r>
            <w:r>
              <w:rPr>
                <w:color w:val="334E68"/>
                <w:sz w:val="18"/>
              </w:rPr>
              <w:t>Cláusula de evaluación del desempeño</w:t>
            </w:r>
          </w:p>
        </w:tc>
        <w:tc>
          <w:tcPr>
            <w:tcW w:type="dxa" w:w="4929"/>
            <w:shd w:fill="F8FAFC"/>
            <w:tcBorders>
              <w:left w:val="single" w:sz="6" w:color="E2E8F0"/>
              <w:top w:val="single" w:sz="6" w:color="E2E8F0"/>
              <w:right w:val="single" w:sz="6" w:color="E2E8F0"/>
              <w:bottom w:val="single" w:sz="6" w:color="E2E8F0"/>
            </w:tcBorders>
          </w:tcPr>
          <w:p>
            <w:pPr>
              <w:spacing w:before="80" w:after="80"/>
            </w:pPr>
            <w:r>
              <w:rPr>
                <w:b/>
                <w:color w:val="486581"/>
                <w:sz w:val="18"/>
              </w:rPr>
              <w:t xml:space="preserve">Volumen de evidencias: </w:t>
            </w:r>
            <w:r>
              <w:rPr>
                <w:color w:val="334E68"/>
                <w:sz w:val="18"/>
              </w:rPr>
              <w:t>2 documento(s) o evidencia(s) referida(s)</w:t>
            </w:r>
          </w:p>
        </w:tc>
      </w:tr>
    </w:tbl>
    <w:p>
      <w:pPr>
        <w:pStyle w:val="Heading2"/>
      </w:pPr>
      <w:r>
        <w:t>Descripción del control</w:t>
      </w:r>
    </w:p>
    <w:p>
      <w:pPr>
        <w:spacing w:line="269" w:lineRule="auto" w:after="120"/>
      </w:pPr>
      <w:r>
        <w:rPr>
          <w:color w:val="243B53"/>
          <w:sz w:val="20"/>
        </w:rPr>
        <w:t>Los resultados de la revisión por la dirección deben incluir decisiones relacionadas con las oportunidades de mejora continua y cualquier necesidad de cambios en el sistema de gestión de la seguridad de la información. Los resultados de las revisiones por la dirección deben estar disponible como información documentada.</w:t>
      </w:r>
    </w:p>
    <w:p>
      <w:pPr>
        <w:pStyle w:val="Heading2"/>
      </w:pPr>
      <w:r>
        <w:t>Evidencias asociadas</w:t>
      </w:r>
    </w:p>
    <w:tbl>
      <w:tblPr>
        <w:tblW w:type="auto" w:w="0"/>
        <w:jc w:val="center"/>
        <w:tblLayout w:type="fixed"/>
        <w:tblLook w:firstColumn="1" w:firstRow="1" w:lastColumn="0" w:lastRow="0" w:noHBand="0" w:noVBand="1" w:val="04A0"/>
      </w:tblPr>
      <w:tblGrid>
        <w:gridCol w:w="9354"/>
      </w:tblGrid>
      <w:tr>
        <w:tc>
          <w:tcPr>
            <w:tcW w:type="dxa" w:w="9354"/>
            <w:shd w:fill="FFFF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Minutas de sesión de comité de seguridad</w:t>
            </w:r>
          </w:p>
        </w:tc>
      </w:tr>
      <w:tr>
        <w:tc>
          <w:tcPr>
            <w:tcW w:type="dxa" w:w="9354"/>
            <w:shd w:fill="FBFDFF"/>
            <w:tcBorders>
              <w:left w:val="single" w:sz="10" w:color="D9E2F3"/>
              <w:top w:val="single" w:sz="6" w:color="E2E8F0"/>
              <w:right w:val="single" w:sz="6" w:color="E2E8F0"/>
              <w:bottom w:val="single" w:sz="6" w:color="E2E8F0"/>
            </w:tcBorders>
          </w:tcPr>
          <w:p>
            <w:pPr>
              <w:spacing w:before="40" w:after="40"/>
              <w:ind w:left="120"/>
            </w:pPr>
            <w:r>
              <w:rPr>
                <w:b/>
                <w:color w:val="1F4E79"/>
              </w:rPr>
              <w:t xml:space="preserve">• </w:t>
            </w:r>
            <w:r>
              <w:rPr>
                <w:color w:val="334E68"/>
                <w:sz w:val="19"/>
              </w:rPr>
              <w:t>Evidencia de comunicación de las Minutas de sesión de comité de seguridad</w:t>
            </w:r>
          </w:p>
        </w:tc>
      </w:tr>
    </w:tbl>
    <w:p>
      <w:pPr>
        <w:spacing w:after="40"/>
      </w:pPr>
    </w:p>
    <w:p>
      <w:pPr>
        <w:pStyle w:val="Heading1"/>
        <w:pBdr>
          <w:bottom w:val="single" w:sz="8" w:space="1" w:color="B8CCE4"/>
        </w:pBdr>
      </w:pPr>
      <w:r>
        <w:t>Observaciones de depuración del extracto</w:t>
      </w:r>
    </w:p>
    <w:p>
      <w:pPr>
        <w:spacing w:after="80"/>
        <w:ind w:left="200"/>
      </w:pPr>
      <w:r>
        <w:rPr>
          <w:b/>
          <w:color w:val="1F4E79"/>
        </w:rPr>
        <w:t xml:space="preserve">• </w:t>
      </w:r>
      <w:r>
        <w:rPr>
          <w:color w:val="334E68"/>
        </w:rPr>
        <w:t>Se consolidaron 6 controles únicos, eliminando duplicados de encabezado y vista resumida.</w:t>
      </w:r>
    </w:p>
    <w:p>
      <w:pPr>
        <w:spacing w:after="80"/>
        <w:ind w:left="200"/>
      </w:pPr>
      <w:r>
        <w:rPr>
          <w:b/>
          <w:color w:val="1F4E79"/>
        </w:rPr>
        <w:t xml:space="preserve">• </w:t>
      </w:r>
      <w:r>
        <w:rPr>
          <w:color w:val="334E68"/>
        </w:rPr>
        <w:t>Se detectaron 2 bloques sin contenido recuperable en la extracción original: ID Punto de control Estado Evidencias; Punto de control.</w:t>
      </w:r>
    </w:p>
    <w:p>
      <w:pPr>
        <w:spacing w:after="80"/>
        <w:ind w:left="200"/>
      </w:pPr>
      <w:r>
        <w:rPr>
          <w:b/>
          <w:color w:val="1F4E79"/>
        </w:rPr>
        <w:t xml:space="preserve">• </w:t>
      </w:r>
      <w:r>
        <w:rPr>
          <w:color w:val="334E68"/>
        </w:rPr>
        <w:t>Se preservó el texto funcional del control y se separaron las evidencias en una lista para mejorar la lectura y la revisión.</w:t>
      </w:r>
    </w:p>
    <w:p>
      <w:pPr>
        <w:spacing w:after="80"/>
        <w:ind w:left="200"/>
      </w:pPr>
      <w:r>
        <w:rPr>
          <w:b/>
          <w:color w:val="1F4E79"/>
        </w:rPr>
        <w:t xml:space="preserve">• </w:t>
      </w:r>
      <w:r>
        <w:rPr>
          <w:color w:val="334E68"/>
        </w:rPr>
        <w:t>El documento quedó listo para seguimiento interno, revisión documental y preparación de auditoría.</w:t>
      </w:r>
    </w:p>
    <w:sectPr w:rsidR="00FC693F" w:rsidRPr="0006063C" w:rsidSect="00034616">
      <w:headerReference w:type="default" r:id="rId9"/>
      <w:footerReference w:type="default" r:id="rId10"/>
      <w:pgSz w:w="12240" w:h="15840"/>
      <w:pgMar w:top="1020"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6"/>
      </w:rPr>
      <w:t xml:space="preserve">Wolk IT Services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B8794"/>
        <w:sz w:val="17"/>
      </w:rPr>
      <w:t>Requisito 9 - Evaluación del desempeño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lang w:val="es-MX" w:eastAsia="es-MX" w:bidi="es-MX"/>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MX" w:eastAsia="es-MX" w:bidi="es-MX"/>
    </w:rPr>
  </w:style>
  <w:style w:type="character" w:customStyle="1" w:styleId="HeaderChar">
    <w:name w:val="Header Char"/>
    <w:basedOn w:val="DefaultParagraphFont"/>
    <w:link w:val="Header"/>
    <w:uiPriority w:val="99"/>
    <w:rsid w:val="00E618BF"/>
    <w:rPr>
      <w:lang w:val="es-MX" w:eastAsia="es-MX" w:bidi="es-MX"/>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MX" w:eastAsia="es-MX" w:bidi="es-MX"/>
    </w:rPr>
  </w:style>
  <w:style w:type="character" w:customStyle="1" w:styleId="FooterChar">
    <w:name w:val="Footer Char"/>
    <w:basedOn w:val="DefaultParagraphFont"/>
    <w:link w:val="Footer"/>
    <w:uiPriority w:val="99"/>
    <w:rsid w:val="00E618BF"/>
    <w:rPr>
      <w:lang w:val="es-MX" w:eastAsia="es-MX" w:bidi="es-MX"/>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24D"/>
      <w:sz w:val="30"/>
      <w:szCs w:val="28"/>
      <w:lang w:val="es-MX" w:eastAsia="es-MX" w:bidi="es-MX"/>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lang w:val="es-MX" w:eastAsia="es-MX" w:bidi="es-MX"/>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E5F8A"/>
      <w:sz w:val="22"/>
      <w:lang w:val="es-MX" w:eastAsia="es-MX" w:bidi="es-MX"/>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MX" w:eastAsia="es-MX" w:bidi="es-MX"/>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MX" w:eastAsia="es-MX" w:bidi="es-MX"/>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MX" w:eastAsia="es-MX" w:bidi="es-MX"/>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MX" w:eastAsia="es-MX" w:bidi="es-MX"/>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MX" w:eastAsia="es-MX" w:bidi="es-MX"/>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MX" w:eastAsia="es-MX" w:bidi="es-MX"/>
    </w:rPr>
  </w:style>
  <w:style w:type="character" w:default="1" w:styleId="DefaultParagraphFont">
    <w:name w:val="Default Paragraph Font"/>
    <w:uiPriority w:val="1"/>
    <w:semiHidden/>
    <w:unhideWhenUsed/>
    <w:rPr>
      <w:lang w:val="es-MX" w:eastAsia="es-MX" w:bidi="es-MX"/>
    </w:rPr>
  </w:style>
  <w:style w:type="table" w:default="1" w:styleId="TableNormal">
    <w:name w:val="Normal Table"/>
    <w:uiPriority w:val="99"/>
    <w:semiHidden/>
    <w:unhideWhenUsed/>
    <w:rPr>
      <w:lang w:val="es-MX" w:eastAsia="es-MX" w:bidi="es-MX"/>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MX" w:eastAsia="es-MX" w:bidi="es-MX"/>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MX" w:eastAsia="es-MX" w:bidi="es-MX"/>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MX" w:eastAsia="es-MX" w:bidi="es-MX"/>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MX" w:eastAsia="es-MX" w:bidi="es-MX"/>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8"/>
      <w:szCs w:val="52"/>
      <w:lang w:val="es-MX" w:eastAsia="es-MX" w:bidi="es-MX"/>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MX" w:eastAsia="es-MX" w:bidi="es-MX"/>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16170"/>
      <w:spacing w:val="15"/>
      <w:sz w:val="22"/>
      <w:szCs w:val="24"/>
      <w:lang w:val="es-MX" w:eastAsia="es-MX" w:bidi="es-MX"/>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MX" w:eastAsia="es-MX" w:bidi="es-MX"/>
    </w:rPr>
  </w:style>
  <w:style w:type="paragraph" w:styleId="ListParagraph">
    <w:name w:val="List Paragraph"/>
    <w:basedOn w:val="Normal"/>
    <w:uiPriority w:val="34"/>
    <w:qFormat/>
    <w:rsid w:val="00FC693F"/>
    <w:pPr>
      <w:ind w:left="720"/>
      <w:contextualSpacing/>
    </w:pPr>
    <w:rPr>
      <w:lang w:val="es-MX" w:eastAsia="es-MX" w:bidi="es-MX"/>
    </w:rPr>
  </w:style>
  <w:style w:type="paragraph" w:styleId="BodyText">
    <w:name w:val="Body Text"/>
    <w:basedOn w:val="Normal"/>
    <w:link w:val="BodyTextChar"/>
    <w:uiPriority w:val="99"/>
    <w:unhideWhenUsed/>
    <w:rsid w:val="00AA1D8D"/>
    <w:pPr>
      <w:spacing w:after="120"/>
    </w:pPr>
    <w:rPr>
      <w:lang w:val="es-MX" w:eastAsia="es-MX" w:bidi="es-MX"/>
    </w:rPr>
  </w:style>
  <w:style w:type="character" w:customStyle="1" w:styleId="BodyTextChar">
    <w:name w:val="Body Text Char"/>
    <w:basedOn w:val="DefaultParagraphFont"/>
    <w:link w:val="BodyText"/>
    <w:uiPriority w:val="99"/>
    <w:rsid w:val="00AA1D8D"/>
    <w:rPr>
      <w:lang w:val="es-MX" w:eastAsia="es-MX" w:bidi="es-MX"/>
    </w:rPr>
  </w:style>
  <w:style w:type="paragraph" w:styleId="BodyText2">
    <w:name w:val="Body Text 2"/>
    <w:basedOn w:val="Normal"/>
    <w:link w:val="BodyText2Char"/>
    <w:uiPriority w:val="99"/>
    <w:unhideWhenUsed/>
    <w:rsid w:val="00AA1D8D"/>
    <w:pPr>
      <w:spacing w:after="120" w:line="480" w:lineRule="auto"/>
    </w:pPr>
    <w:rPr>
      <w:lang w:val="es-MX" w:eastAsia="es-MX" w:bidi="es-MX"/>
    </w:rPr>
  </w:style>
  <w:style w:type="character" w:customStyle="1" w:styleId="BodyText2Char">
    <w:name w:val="Body Text 2 Char"/>
    <w:basedOn w:val="DefaultParagraphFont"/>
    <w:link w:val="BodyText2"/>
    <w:uiPriority w:val="99"/>
    <w:rsid w:val="00AA1D8D"/>
    <w:rPr>
      <w:lang w:val="es-MX" w:eastAsia="es-MX" w:bidi="es-MX"/>
    </w:rPr>
  </w:style>
  <w:style w:type="paragraph" w:styleId="BodyText3">
    <w:name w:val="Body Text 3"/>
    <w:basedOn w:val="Normal"/>
    <w:link w:val="BodyText3Char"/>
    <w:uiPriority w:val="99"/>
    <w:unhideWhenUsed/>
    <w:rsid w:val="00AA1D8D"/>
    <w:pPr>
      <w:spacing w:after="120"/>
    </w:pPr>
    <w:rPr>
      <w:sz w:val="16"/>
      <w:szCs w:val="16"/>
      <w:lang w:val="es-MX" w:eastAsia="es-MX" w:bidi="es-MX"/>
    </w:rPr>
  </w:style>
  <w:style w:type="character" w:customStyle="1" w:styleId="BodyText3Char">
    <w:name w:val="Body Text 3 Char"/>
    <w:basedOn w:val="DefaultParagraphFont"/>
    <w:link w:val="BodyText3"/>
    <w:uiPriority w:val="99"/>
    <w:rsid w:val="00AA1D8D"/>
    <w:rPr>
      <w:sz w:val="16"/>
      <w:szCs w:val="16"/>
      <w:lang w:val="es-MX" w:eastAsia="es-MX" w:bidi="es-MX"/>
    </w:rPr>
  </w:style>
  <w:style w:type="paragraph" w:styleId="List">
    <w:name w:val="List"/>
    <w:basedOn w:val="Normal"/>
    <w:uiPriority w:val="99"/>
    <w:unhideWhenUsed/>
    <w:rsid w:val="00AA1D8D"/>
    <w:pPr>
      <w:ind w:left="360" w:hanging="360"/>
      <w:contextualSpacing/>
    </w:pPr>
    <w:rPr>
      <w:lang w:val="es-MX" w:eastAsia="es-MX" w:bidi="es-MX"/>
    </w:rPr>
  </w:style>
  <w:style w:type="paragraph" w:styleId="List2">
    <w:name w:val="List 2"/>
    <w:basedOn w:val="Normal"/>
    <w:uiPriority w:val="99"/>
    <w:unhideWhenUsed/>
    <w:rsid w:val="00326F90"/>
    <w:pPr>
      <w:ind w:left="720" w:hanging="360"/>
      <w:contextualSpacing/>
    </w:pPr>
    <w:rPr>
      <w:lang w:val="es-MX" w:eastAsia="es-MX" w:bidi="es-MX"/>
    </w:rPr>
  </w:style>
  <w:style w:type="paragraph" w:styleId="List3">
    <w:name w:val="List 3"/>
    <w:basedOn w:val="Normal"/>
    <w:uiPriority w:val="99"/>
    <w:unhideWhenUsed/>
    <w:rsid w:val="00326F90"/>
    <w:pPr>
      <w:ind w:left="1080" w:hanging="360"/>
      <w:contextualSpacing/>
    </w:pPr>
    <w:rPr>
      <w:lang w:val="es-MX" w:eastAsia="es-MX" w:bidi="es-MX"/>
    </w:rPr>
  </w:style>
  <w:style w:type="paragraph" w:styleId="ListBullet">
    <w:name w:val="List Bullet"/>
    <w:basedOn w:val="Normal"/>
    <w:uiPriority w:val="99"/>
    <w:unhideWhenUsed/>
    <w:rsid w:val="00326F90"/>
    <w:pPr>
      <w:numPr>
        <w:numId w:val="1"/>
      </w:numPr>
      <w:contextualSpacing/>
    </w:pPr>
    <w:rPr>
      <w:lang w:val="es-MX" w:eastAsia="es-MX" w:bidi="es-MX"/>
    </w:rPr>
  </w:style>
  <w:style w:type="paragraph" w:styleId="ListBullet2">
    <w:name w:val="List Bullet 2"/>
    <w:basedOn w:val="Normal"/>
    <w:uiPriority w:val="99"/>
    <w:unhideWhenUsed/>
    <w:rsid w:val="00326F90"/>
    <w:pPr>
      <w:numPr>
        <w:numId w:val="2"/>
      </w:numPr>
      <w:contextualSpacing/>
    </w:pPr>
    <w:rPr>
      <w:lang w:val="es-MX" w:eastAsia="es-MX" w:bidi="es-MX"/>
    </w:rPr>
  </w:style>
  <w:style w:type="paragraph" w:styleId="ListBullet3">
    <w:name w:val="List Bullet 3"/>
    <w:basedOn w:val="Normal"/>
    <w:uiPriority w:val="99"/>
    <w:unhideWhenUsed/>
    <w:rsid w:val="00326F90"/>
    <w:pPr>
      <w:numPr>
        <w:numId w:val="3"/>
      </w:numPr>
      <w:contextualSpacing/>
    </w:pPr>
    <w:rPr>
      <w:lang w:val="es-MX" w:eastAsia="es-MX" w:bidi="es-MX"/>
    </w:rPr>
  </w:style>
  <w:style w:type="paragraph" w:styleId="ListNumber">
    <w:name w:val="List Number"/>
    <w:basedOn w:val="Normal"/>
    <w:uiPriority w:val="99"/>
    <w:unhideWhenUsed/>
    <w:rsid w:val="00326F90"/>
    <w:pPr>
      <w:numPr>
        <w:numId w:val="5"/>
      </w:numPr>
      <w:contextualSpacing/>
    </w:pPr>
    <w:rPr>
      <w:lang w:val="es-MX" w:eastAsia="es-MX" w:bidi="es-MX"/>
    </w:rPr>
  </w:style>
  <w:style w:type="paragraph" w:styleId="ListNumber2">
    <w:name w:val="List Number 2"/>
    <w:basedOn w:val="Normal"/>
    <w:uiPriority w:val="99"/>
    <w:unhideWhenUsed/>
    <w:rsid w:val="0029639D"/>
    <w:pPr>
      <w:numPr>
        <w:numId w:val="6"/>
      </w:numPr>
      <w:contextualSpacing/>
    </w:pPr>
    <w:rPr>
      <w:lang w:val="es-MX" w:eastAsia="es-MX" w:bidi="es-MX"/>
    </w:rPr>
  </w:style>
  <w:style w:type="paragraph" w:styleId="ListNumber3">
    <w:name w:val="List Number 3"/>
    <w:basedOn w:val="Normal"/>
    <w:uiPriority w:val="99"/>
    <w:unhideWhenUsed/>
    <w:rsid w:val="0029639D"/>
    <w:pPr>
      <w:numPr>
        <w:numId w:val="7"/>
      </w:numPr>
      <w:contextualSpacing/>
    </w:pPr>
    <w:rPr>
      <w:lang w:val="es-MX" w:eastAsia="es-MX" w:bidi="es-MX"/>
    </w:rPr>
  </w:style>
  <w:style w:type="paragraph" w:styleId="ListContinue">
    <w:name w:val="List Continue"/>
    <w:basedOn w:val="Normal"/>
    <w:uiPriority w:val="99"/>
    <w:unhideWhenUsed/>
    <w:rsid w:val="0029639D"/>
    <w:pPr>
      <w:spacing w:after="120"/>
      <w:ind w:left="360"/>
      <w:contextualSpacing/>
    </w:pPr>
    <w:rPr>
      <w:lang w:val="es-MX" w:eastAsia="es-MX" w:bidi="es-MX"/>
    </w:rPr>
  </w:style>
  <w:style w:type="paragraph" w:styleId="ListContinue2">
    <w:name w:val="List Continue 2"/>
    <w:basedOn w:val="Normal"/>
    <w:uiPriority w:val="99"/>
    <w:unhideWhenUsed/>
    <w:rsid w:val="0029639D"/>
    <w:pPr>
      <w:spacing w:after="120"/>
      <w:ind w:left="720"/>
      <w:contextualSpacing/>
    </w:pPr>
    <w:rPr>
      <w:lang w:val="es-MX" w:eastAsia="es-MX" w:bidi="es-MX"/>
    </w:rPr>
  </w:style>
  <w:style w:type="paragraph" w:styleId="ListContinue3">
    <w:name w:val="List Continue 3"/>
    <w:basedOn w:val="Normal"/>
    <w:uiPriority w:val="99"/>
    <w:unhideWhenUsed/>
    <w:rsid w:val="0029639D"/>
    <w:pPr>
      <w:spacing w:after="120"/>
      <w:ind w:left="1080"/>
      <w:contextualSpacing/>
    </w:pPr>
    <w:rPr>
      <w:lang w:val="es-MX" w:eastAsia="es-MX" w:bidi="es-MX"/>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MX" w:eastAsia="es-MX" w:bidi="es-MX"/>
    </w:rPr>
  </w:style>
  <w:style w:type="character" w:customStyle="1" w:styleId="MacroTextChar">
    <w:name w:val="Macro Text Char"/>
    <w:basedOn w:val="DefaultParagraphFont"/>
    <w:link w:val="MacroText"/>
    <w:uiPriority w:val="99"/>
    <w:rsid w:val="0029639D"/>
    <w:rPr>
      <w:rFonts w:ascii="Courier" w:hAnsi="Courier"/>
      <w:sz w:val="20"/>
      <w:szCs w:val="20"/>
      <w:lang w:val="es-MX" w:eastAsia="es-MX" w:bidi="es-MX"/>
    </w:rPr>
  </w:style>
  <w:style w:type="paragraph" w:styleId="Quote">
    <w:name w:val="Quote"/>
    <w:basedOn w:val="Normal"/>
    <w:next w:val="Normal"/>
    <w:link w:val="QuoteChar"/>
    <w:uiPriority w:val="29"/>
    <w:qFormat/>
    <w:rsid w:val="00FC693F"/>
    <w:rPr>
      <w:i/>
      <w:iCs/>
      <w:color w:val="000000" w:themeColor="text1"/>
      <w:lang w:val="es-MX" w:eastAsia="es-MX" w:bidi="es-MX"/>
    </w:rPr>
  </w:style>
  <w:style w:type="character" w:customStyle="1" w:styleId="QuoteChar">
    <w:name w:val="Quote Char"/>
    <w:basedOn w:val="DefaultParagraphFont"/>
    <w:link w:val="Quote"/>
    <w:uiPriority w:val="29"/>
    <w:rsid w:val="00FC693F"/>
    <w:rPr>
      <w:i/>
      <w:iCs/>
      <w:color w:val="000000" w:themeColor="text1"/>
      <w:lang w:val="es-MX" w:eastAsia="es-MX" w:bidi="es-MX"/>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MX" w:eastAsia="es-MX" w:bidi="es-MX"/>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MX" w:eastAsia="es-MX" w:bidi="es-MX"/>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MX" w:eastAsia="es-MX" w:bidi="es-MX"/>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MX" w:eastAsia="es-MX" w:bidi="es-MX"/>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MX" w:eastAsia="es-MX" w:bidi="es-MX"/>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MX" w:eastAsia="es-MX" w:bidi="es-MX"/>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MX" w:eastAsia="es-MX" w:bidi="es-MX"/>
    </w:rPr>
  </w:style>
  <w:style w:type="character" w:styleId="Strong">
    <w:name w:val="Strong"/>
    <w:basedOn w:val="DefaultParagraphFont"/>
    <w:uiPriority w:val="22"/>
    <w:qFormat/>
    <w:rsid w:val="00FC693F"/>
    <w:rPr>
      <w:b/>
      <w:bCs/>
      <w:lang w:val="es-MX" w:eastAsia="es-MX" w:bidi="es-MX"/>
    </w:rPr>
  </w:style>
  <w:style w:type="character" w:styleId="Emphasis">
    <w:name w:val="Emphasis"/>
    <w:basedOn w:val="DefaultParagraphFont"/>
    <w:uiPriority w:val="20"/>
    <w:qFormat/>
    <w:rsid w:val="00FC693F"/>
    <w:rPr>
      <w:i/>
      <w:iCs/>
      <w:lang w:val="es-MX" w:eastAsia="es-MX" w:bidi="es-MX"/>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MX" w:eastAsia="es-MX" w:bidi="es-MX"/>
    </w:rPr>
  </w:style>
  <w:style w:type="character" w:customStyle="1" w:styleId="IntenseQuoteChar">
    <w:name w:val="Intense Quote Char"/>
    <w:basedOn w:val="DefaultParagraphFont"/>
    <w:link w:val="IntenseQuote"/>
    <w:uiPriority w:val="30"/>
    <w:rsid w:val="00FC693F"/>
    <w:rPr>
      <w:b/>
      <w:bCs/>
      <w:i/>
      <w:iCs/>
      <w:color w:val="4F81BD" w:themeColor="accent1"/>
      <w:lang w:val="es-MX" w:eastAsia="es-MX" w:bidi="es-MX"/>
    </w:rPr>
  </w:style>
  <w:style w:type="character" w:styleId="SubtleEmphasis">
    <w:name w:val="Subtle Emphasis"/>
    <w:basedOn w:val="DefaultParagraphFont"/>
    <w:uiPriority w:val="19"/>
    <w:qFormat/>
    <w:rsid w:val="00FC693F"/>
    <w:rPr>
      <w:i/>
      <w:iCs/>
      <w:color w:val="808080" w:themeColor="text1" w:themeTint="7F"/>
      <w:lang w:val="es-MX" w:eastAsia="es-MX" w:bidi="es-MX"/>
    </w:rPr>
  </w:style>
  <w:style w:type="character" w:styleId="IntenseEmphasis">
    <w:name w:val="Intense Emphasis"/>
    <w:basedOn w:val="DefaultParagraphFont"/>
    <w:uiPriority w:val="21"/>
    <w:qFormat/>
    <w:rsid w:val="00FC693F"/>
    <w:rPr>
      <w:b/>
      <w:bCs/>
      <w:i/>
      <w:iCs/>
      <w:color w:val="4F81BD" w:themeColor="accent1"/>
      <w:lang w:val="es-MX" w:eastAsia="es-MX" w:bidi="es-MX"/>
    </w:rPr>
  </w:style>
  <w:style w:type="character" w:styleId="SubtleReference">
    <w:name w:val="Subtle Reference"/>
    <w:basedOn w:val="DefaultParagraphFont"/>
    <w:uiPriority w:val="31"/>
    <w:qFormat/>
    <w:rsid w:val="00FC693F"/>
    <w:rPr>
      <w:smallCaps/>
      <w:color w:val="C0504D" w:themeColor="accent2"/>
      <w:u w:val="single"/>
      <w:lang w:val="es-MX" w:eastAsia="es-MX" w:bidi="es-MX"/>
    </w:rPr>
  </w:style>
  <w:style w:type="character" w:styleId="IntenseReference">
    <w:name w:val="Intense Reference"/>
    <w:basedOn w:val="DefaultParagraphFont"/>
    <w:uiPriority w:val="32"/>
    <w:qFormat/>
    <w:rsid w:val="00FC693F"/>
    <w:rPr>
      <w:b/>
      <w:bCs/>
      <w:smallCaps/>
      <w:color w:val="C0504D" w:themeColor="accent2"/>
      <w:spacing w:val="5"/>
      <w:u w:val="single"/>
      <w:lang w:val="es-MX" w:eastAsia="es-MX" w:bidi="es-MX"/>
    </w:rPr>
  </w:style>
  <w:style w:type="character" w:styleId="BookTitle">
    <w:name w:val="Book Title"/>
    <w:basedOn w:val="DefaultParagraphFont"/>
    <w:uiPriority w:val="33"/>
    <w:qFormat/>
    <w:rsid w:val="00FC693F"/>
    <w:rPr>
      <w:b/>
      <w:bCs/>
      <w:smallCaps/>
      <w:spacing w:val="5"/>
      <w:lang w:val="es-MX" w:eastAsia="es-MX" w:bidi="es-MX"/>
    </w:rPr>
  </w:style>
  <w:style w:type="paragraph" w:styleId="TOCHeading">
    <w:name w:val="TOC Heading"/>
    <w:basedOn w:val="Heading1"/>
    <w:next w:val="Normal"/>
    <w:uiPriority w:val="39"/>
    <w:semiHidden/>
    <w:unhideWhenUsed/>
    <w:qFormat/>
    <w:rsid w:val="00FC693F"/>
    <w:pPr>
      <w:outlineLvl w:val="9"/>
    </w:pPr>
    <w:rPr>
      <w:lang w:val="es-MX" w:eastAsia="es-MX" w:bidi="es-MX"/>
    </w:rPr>
  </w:style>
  <w:style w:type="table" w:styleId="TableGrid">
    <w:name w:val="Table Grid"/>
    <w:basedOn w:val="TableNormal"/>
    <w:uiPriority w:val="59"/>
    <w:rsid w:val="00FC693F"/>
    <w:pPr>
      <w:spacing w:after="0" w:line="240" w:lineRule="auto"/>
    </w:pPr>
    <w:rPr>
      <w:lang w:val="es-MX" w:eastAsia="es-MX" w:bidi="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MX" w:eastAsia="es-MX" w:bidi="es-MX"/>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MX" w:eastAsia="es-MX" w:bidi="es-MX"/>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MX" w:eastAsia="es-MX" w:bidi="es-MX"/>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MX" w:eastAsia="es-MX" w:bidi="es-MX"/>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MX" w:eastAsia="es-MX" w:bidi="es-MX"/>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MX" w:eastAsia="es-MX" w:bidi="es-MX"/>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MX" w:eastAsia="es-MX" w:bidi="es-MX"/>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MX" w:eastAsia="es-MX" w:bidi="es-MX"/>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MX" w:eastAsia="es-MX" w:bidi="es-MX"/>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MX" w:eastAsia="es-MX" w:bidi="es-MX"/>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MX" w:eastAsia="es-MX" w:bidi="es-MX"/>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MX" w:eastAsia="es-MX" w:bidi="es-MX"/>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MX" w:eastAsia="es-MX" w:bidi="es-MX"/>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MX" w:eastAsia="es-MX" w:bidi="es-MX"/>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MX" w:eastAsia="es-MX" w:bidi="es-MX"/>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MX" w:eastAsia="es-MX" w:bidi="es-MX"/>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MX" w:eastAsia="es-MX" w:bidi="es-MX"/>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MX" w:eastAsia="es-MX" w:bidi="es-MX"/>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MX" w:eastAsia="es-MX" w:bidi="es-MX"/>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MX" w:eastAsia="es-MX" w:bidi="es-MX"/>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MX" w:eastAsia="es-MX" w:bidi="es-MX"/>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MX" w:eastAsia="es-MX" w:bidi="es-MX"/>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MX" w:eastAsia="es-MX" w:bidi="es-MX"/>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MX" w:eastAsia="es-MX" w:bidi="es-MX"/>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MX" w:eastAsia="es-MX" w:bidi="es-MX"/>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