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 Unicode MS" w:hAnsi="Arial Unicode MS" w:eastAsia="Arial Unicode MS"/>
          <w:b/>
          <w:color w:val="000000"/>
          <w:sz w:val="46"/>
        </w:rPr>
        <w:t>2026-07-20｜业务痛点复盘与 AI 战略转型部署</w:t>
      </w:r>
    </w:p>
    <w:p>
      <w:pPr>
        <w:spacing w:after="240"/>
      </w:pPr>
      <w:r>
        <w:rPr>
          <w:rFonts w:ascii="Arial Unicode MS" w:hAnsi="Arial Unicode MS" w:eastAsia="Arial Unicode MS"/>
          <w:b w:val="0"/>
          <w:color w:val="666666"/>
          <w:sz w:val="28"/>
        </w:rPr>
        <w:t>会议执行包（内部草案）V0.1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00000"/>
          <w:sz w:val="20"/>
        </w:rPr>
        <w:t>状态：</w:t>
      </w:r>
      <w:r>
        <w:rPr>
          <w:rFonts w:ascii="Arial Unicode MS" w:hAnsi="Arial Unicode MS" w:eastAsia="Arial Unicode MS"/>
          <w:b w:val="0"/>
          <w:color w:val="000000"/>
          <w:sz w:val="20"/>
        </w:rPr>
        <w:t>Draft｜不代表决策已生效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00000"/>
          <w:sz w:val="20"/>
        </w:rPr>
        <w:t>会议日期：</w:t>
      </w:r>
      <w:r>
        <w:rPr>
          <w:rFonts w:ascii="Arial Unicode MS" w:hAnsi="Arial Unicode MS" w:eastAsia="Arial Unicode MS"/>
          <w:b w:val="0"/>
          <w:color w:val="000000"/>
          <w:sz w:val="20"/>
        </w:rPr>
        <w:t>2026-07-20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00000"/>
          <w:sz w:val="20"/>
        </w:rPr>
        <w:t>负责人 / Owner：</w:t>
      </w:r>
      <w:r>
        <w:rPr>
          <w:rFonts w:ascii="Arial Unicode MS" w:hAnsi="Arial Unicode MS" w:eastAsia="Arial Unicode MS"/>
          <w:b w:val="0"/>
          <w:color w:val="000000"/>
          <w:sz w:val="20"/>
        </w:rPr>
        <w:t>待确认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00000"/>
          <w:sz w:val="20"/>
        </w:rPr>
        <w:t>访问范围：</w:t>
      </w:r>
      <w:r>
        <w:rPr>
          <w:rFonts w:ascii="Arial Unicode MS" w:hAnsi="Arial Unicode MS" w:eastAsia="Arial Unicode MS"/>
          <w:b w:val="0"/>
          <w:color w:val="000000"/>
          <w:sz w:val="20"/>
        </w:rPr>
        <w:t>内部经营使用｜禁止未经授权外转</w:t>
      </w:r>
    </w:p>
    <w:p>
      <w:pPr>
        <w:spacing w:after="200"/>
        <w:pBdr>
          <w:bottom w:val="single" w:sz="10" w:space="1" w:color="2E74B5"/>
        </w:pBdr>
      </w:pPr>
    </w:p>
    <w:p>
      <w:pPr>
        <w:spacing w:before="80" w:after="160"/>
        <w:ind w:left="259" w:right="115"/>
        <w:shd w:fill="F4F6F9"/>
      </w:pPr>
      <w:r>
        <w:rPr>
          <w:rFonts w:ascii="Arial Unicode MS" w:hAnsi="Arial Unicode MS" w:eastAsia="Arial Unicode MS"/>
          <w:b w:val="0"/>
          <w:color w:val="1F4D78"/>
          <w:sz w:val="21"/>
        </w:rPr>
        <w:t>本文件是内部会议执行与治理草案，不是原始会议纪要、公司制度、产品承诺、人员决定或对外宣传文案。会议日期确认为 2026-07-20；负责人、参会人、Owner、期限、预算和基线数据仍需业务负责人确认。本文只保留转写中可复用的经营问题与待验证框架，不复制个人姓名、客户姓名、未核实功效/资质、月业绩或其他未经确认的商业主张。</w:t>
      </w:r>
    </w:p>
    <w:p>
      <w:pPr>
        <w:pStyle w:val="Heading1"/>
      </w:pPr>
      <w:r>
        <w:t>01｜记录信息与证据边界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记录编号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MR-20260720-01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会议日期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2026-07-20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处理日期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2026-07-20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当前状态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Draft；不代表决策已生效或项目已批准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会议负责人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待确认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参会人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待确认；本文件不复制个人姓名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原始来源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《业务痛点复盘与AI战略转型部署-文稿-转写结果.txt》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Owner / 期限 / 预算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待确认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核对状态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已读取 AI 转写稿；客户、订单、产品、合规、财务与组织事实待原始记录核对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访问边界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内部经营使用；客户、员工和供应商信息按最小必要范围访问</w:t>
            </w:r>
          </w:p>
        </w:tc>
      </w:tr>
    </w:tbl>
    <w:p>
      <w:pPr>
        <w:spacing w:after="20"/>
      </w:pPr>
    </w:p>
    <w:p>
      <w:pPr>
        <w:pStyle w:val="Heading2"/>
      </w:pPr>
      <w:r>
        <w:t>转写表达与已核实事实边界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已核实为转写中出现的表达</w:t>
      </w:r>
      <w:r>
        <w:rPr>
          <w:rFonts w:ascii="Arial Unicode MS" w:hAnsi="Arial Unicode MS" w:eastAsia="Arial Unicode MS"/>
          <w:b w:val="0"/>
          <w:color w:val="000000"/>
          <w:sz w:val="21"/>
        </w:rPr>
        <w:t>：会议讨论了客户资产被遗漏、既有特色/优势产品缺乏持续推广、管理层应提高 AI 使用和流程重构能力、短视频可作为记录经营实践的验证载体，以及按客户类型逐步梳理工厂客户等方向。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尚未核实的经营事实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：具体客户、产品、订单、销量、价格、毛利、技术/资质、功效、客户意愿、月度业绩、市场规模、外部案例、人才稀缺性和“未来五年”判断。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使用规则</w:t>
      </w:r>
      <w:r>
        <w:rPr>
          <w:rFonts w:ascii="Arial Unicode MS" w:hAnsi="Arial Unicode MS" w:eastAsia="Arial Unicode MS"/>
          <w:b w:val="0"/>
          <w:color w:val="000000"/>
          <w:sz w:val="21"/>
        </w:rPr>
        <w:t>：转写稿证明某项表达在会议中出现，不单独证明商业事实、因果关系、客户承诺或可复制结果。任何对外使用前，须补充来源、日期、范围、复核人和证据。</w:t>
      </w:r>
    </w:p>
    <w:p>
      <w:pPr>
        <w:pStyle w:val="Heading1"/>
      </w:pPr>
      <w:r>
        <w:t>02｜执行摘要</w:t>
      </w:r>
    </w:p>
    <w:p>
      <w:r>
        <w:rPr>
          <w:rFonts w:ascii="Arial Unicode MS" w:hAnsi="Arial Unicode MS" w:eastAsia="Arial Unicode MS"/>
          <w:b w:val="0"/>
          <w:color w:val="000000"/>
          <w:sz w:val="21"/>
        </w:rPr>
        <w:t>本文件建议的可执行主线不是“立刻扩大新品或 AI 外部业务”，而是先把已有客户、产品和流程资产重新盘点，并用小范围经营验证回答三个问题：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客户资产是否能被找到、分层、持续跟进并转化为真实机会；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优势/特色产品是否有明确客户场景、责任人和连续验证，而不是只完成开发或上架；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AI 是否能在真实岗位中重构一段业务流程，并以质量、时效、成本和责任边界验收。</w:t>
      </w:r>
    </w:p>
    <w:p>
      <w:r>
        <w:rPr>
          <w:rFonts w:ascii="Arial Unicode MS" w:hAnsi="Arial Unicode MS" w:eastAsia="Arial Unicode MS"/>
          <w:b w:val="0"/>
          <w:color w:val="000000"/>
          <w:sz w:val="21"/>
        </w:rPr>
        <w:t>外部 AI 服务是第二增长曲线 Candidate，只能在内部实践、客户付费意愿和交付经济性得到证据后再评审；短视频当前只作为 AI 流程与经营实践的公开验证载体，不升级为独立理论或产品体系。</w:t>
      </w:r>
    </w:p>
    <w:p>
      <w:pPr>
        <w:pStyle w:val="Heading1"/>
      </w:pPr>
      <w:r>
        <w:t>03｜当前经营矛盾</w:t>
      </w:r>
    </w:p>
    <w:p>
      <w:pPr>
        <w:spacing w:before="80" w:after="160"/>
        <w:ind w:left="259" w:right="115"/>
        <w:shd w:fill="F4F6F9"/>
      </w:pPr>
      <w:r>
        <w:rPr>
          <w:rFonts w:ascii="Arial Unicode MS" w:hAnsi="Arial Unicode MS" w:eastAsia="Arial Unicode MS"/>
          <w:b w:val="0"/>
          <w:color w:val="1F4D78"/>
          <w:sz w:val="21"/>
        </w:rPr>
        <w:t>企业希望从产品/订单响应升级为客户价值、专业能力和 AI 协作驱动的经营系统，但现有客户资产、产品资产和流程资产尚未形成连续的责任、基线、动作、验收和复盘闭环。</w:t>
      </w:r>
    </w:p>
    <w:p>
      <w:pPr>
        <w:pStyle w:val="Heading2"/>
      </w:pPr>
      <w:r>
        <w:t>会议暴露出的具体矛盾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观察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经营解释（待验证）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需要的证据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既有客户关系、历史沟通和机会没有稳定进入统一资产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客户资产可能因忙碌、分工或交接而闲置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客户清单、最近动作、负责人、下一步和结果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已开发或具备差异化潜力的产品缺乏连续推广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产品开发与客户验证、销售表达之间可能脱节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产品状态、客户场景、报价/打样、反馈与转化记录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个人提效与企业流程重构被同时提出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工具使用不等于流程改变；责任、质量和交接仍需设计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流程图、输入输出、人工工时、错误率、复核记录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对外 AI 服务方向被提前想象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内部能力、客户需求、交付边界和经济性尚未证明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试点结果、客户访谈、付费/复购、交付成本</w:t>
            </w:r>
          </w:p>
        </w:tc>
      </w:tr>
    </w:tbl>
    <w:p>
      <w:pPr>
        <w:spacing w:after="20"/>
      </w:pPr>
    </w:p>
    <w:p>
      <w:pPr>
        <w:pStyle w:val="Heading1"/>
      </w:pPr>
      <w:r>
        <w:t>04｜事实、判断、假设与建议</w:t>
      </w:r>
    </w:p>
    <w:p>
      <w:pPr>
        <w:pStyle w:val="Heading2"/>
      </w:pPr>
      <w:r>
        <w:t>4.1 事实（仅限转写表达）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会议提出要盘点被忽略的客户资产，以及历史客户关系与沟通记录。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会议以冻干类及其他特色/优势产品为例，提出“开发后没有被持续推广和让销售形成感知”的问题。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会议提出通过 AI 提升个人效率，并进一步重构组织架构与业务流程；同时提出用短视频记录真实经营实践。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会议提出先从已成交工厂客户等可取得对象开始，再逐步按客户需求方向进行梳理。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会议提出外部 AI 诊断、管理支持或流程重构可能成为未来业务方向，但明确属于思考方向而非已实现结果。</w:t>
      </w:r>
    </w:p>
    <w:p>
      <w:pPr>
        <w:pStyle w:val="Heading2"/>
      </w:pPr>
      <w:r>
        <w:t>4.2 判断（当前经营判断，不等于结论）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客户资产再经营应优先于继续无边界找新客户：先验证存量资产的可发现性、责任归属和转化效率。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优势产品不是“做出来”即成立，必须有客户场景、价值表达、合规边界和连续验证。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AI 组织化应用的验收单位应是流程节点与经营结果，而不是 AI 工具数量、内容数量或个人兴奋度。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外部 AI 服务必须以后续证据为前提，不应挤占当前客户、产品和交付主战场。</w:t>
      </w:r>
    </w:p>
    <w:p>
      <w:pPr>
        <w:pStyle w:val="Heading2"/>
      </w:pPr>
      <w:r>
        <w:t>4.3 假设（待验证）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存量客户资产中存在可被重新激活的真实机会；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少数优势产品聚焦明确场景后，客户反馈和转化效率高于泛化推品；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在选定流程中，AI 可稳定减少重复劳动或缩短周期，同时保持可验收质量；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内部 AI 实践可能形成外部客户愿意付费的诊断/流程重构能力。</w:t>
      </w:r>
    </w:p>
    <w:p>
      <w:pPr>
        <w:pStyle w:val="Heading2"/>
      </w:pPr>
      <w:r>
        <w:t>4.4 建议（本文件建议，需负责人确认）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先做三条小范围试点，所有 Owner、期限、预算和基线待确认；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采用 0–30–60–90 验证节奏，与既有 30 天运行验证并行但不替代；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每条试点设置继续、调整、停止闸门，并在下个检查点回写结果；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对外表达只使用已核实的过程和结果证据，不使用未核实功效、资质、客户姓名或业绩数字。</w:t>
      </w:r>
    </w:p>
    <w:p>
      <w:pPr>
        <w:pStyle w:val="Heading1"/>
      </w:pPr>
      <w:r>
        <w:t>05｜三项待拍板试点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事项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本轮交付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Owner / 期限 / 预算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下一检查点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客户资产再经营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完成存量客户/联系人/历史机会盘点，确定分层、负责人、下一动作和结果回写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优势产品客户验证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选择少量优势产品与明确客户场景，完成产品方案卡、客户访谈/打样/报价闸门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AI 流程重构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选定一个可量化业务流程，记录基线、AI 辅助节点、人工复核和结果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</w:tr>
    </w:tbl>
    <w:p>
      <w:pPr>
        <w:spacing w:after="20"/>
      </w:pPr>
    </w:p>
    <w:p>
      <w:pPr>
        <w:pStyle w:val="Heading1"/>
      </w:pPr>
      <w:r>
        <w:t>06｜红灯风险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当前控制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Owner / 下一检查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把转写表达当成已证实的客户、产品或业绩事实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对外误导、错误资源投入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事实/判断/假设分层；逐项补来源与复核人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待确认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继续开发新品，却不做客户场景和连续验证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研发/库存/销售资源浪费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先进入产品方案卡与机会立项闸门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待确认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AI 只做个人提效，未重构流程和责任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局部忙碌、质量失控、责任漂移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流程级基线、人工复核、结果指标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待确认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外部 AI 服务过早产品化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挤占主业、交付承诺失真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仅保留 Candidate，先做内部与客户验证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待确认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短视频变成内容数量竞赛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不能证明经营能力或客户价值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只记录可复核实践；通过原始反馈验证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待确认</w:t>
            </w:r>
          </w:p>
        </w:tc>
      </w:tr>
    </w:tbl>
    <w:p>
      <w:pPr>
        <w:spacing w:after="20"/>
      </w:pPr>
    </w:p>
    <w:p>
      <w:pPr>
        <w:pStyle w:val="Heading1"/>
      </w:pPr>
      <w:r>
        <w:t>07｜等待项与创始人边界</w:t>
      </w:r>
    </w:p>
    <w:p>
      <w:pPr>
        <w:pStyle w:val="Heading2"/>
      </w:pPr>
      <w:r>
        <w:t>正在等待谁交付什么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等待项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责任人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期限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验收证据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状态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确认三条试点的真实 Owner、范围、基线与检查日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试点卡完整且得到业务确认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提供存量客户资产、历史机会与产品清单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可访问清单、来源、更新时间、负责人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选择并记录 AI 流程基线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现状流程、耗时、错误/返工和人工复核记录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为外部 AI 服务补客户访谈与付费/交付证据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访谈记录、报价/付费意愿、交付成本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</w:tr>
    </w:tbl>
    <w:p>
      <w:pPr>
        <w:spacing w:after="20"/>
      </w:pPr>
    </w:p>
    <w:p>
      <w:pPr>
        <w:pStyle w:val="Heading2"/>
      </w:pPr>
      <w:r>
        <w:t>需要创始人拍板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三条试点的主次顺序、真实 Owner、最小范围和检查日期；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是否为试点提供预算与跨部门资源；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外部 AI 服务是否继续处于 Candidate 验证，以及何时进入/退出下一阶段；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任何对外案例、产品功效/资质/业绩或客户结果的发布标准。</w:t>
      </w:r>
    </w:p>
    <w:p>
      <w:pPr>
        <w:pStyle w:val="Heading2"/>
      </w:pPr>
      <w:r>
        <w:t>创始人不应该亲自介入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不替业务团队维护全部客户表、逐条追踪或补录一线动作；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不替产品或销售直接承诺优势产品的功效、资质、销量或客户结果；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不替岗位 Owner 承担流程执行和数据回写；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不在没有基线和复核证据时亲自宣布 AI 替代岗位、流程已完成或第二增长曲线成立。</w:t>
      </w:r>
    </w:p>
    <w:p>
      <w:pPr>
        <w:pStyle w:val="Heading1"/>
      </w:pPr>
      <w:r>
        <w:t>08｜关联战略战役</w:t>
      </w:r>
    </w:p>
    <w:p>
      <w:r>
        <w:rPr>
          <w:rFonts w:ascii="Arial Unicode MS" w:hAnsi="Arial Unicode MS" w:eastAsia="Arial Unicode MS"/>
          <w:b w:val="0"/>
          <w:color w:val="000000"/>
          <w:sz w:val="21"/>
        </w:rPr>
        <w:t>本执行包关联当前战略的四场战役：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客户经营升级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：客户资产盘点、诊断、分层与长期经营；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订单与供应链能力升级</w:t>
      </w:r>
      <w:r>
        <w:rPr>
          <w:rFonts w:ascii="Arial Unicode MS" w:hAnsi="Arial Unicode MS" w:eastAsia="Arial Unicode MS"/>
          <w:b w:val="0"/>
          <w:color w:val="000000"/>
          <w:sz w:val="21"/>
        </w:rPr>
        <w:t>：优势产品场景验证、价值表达与交付边界；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AI 组织化应用</w:t>
      </w:r>
      <w:r>
        <w:rPr>
          <w:rFonts w:ascii="Arial Unicode MS" w:hAnsi="Arial Unicode MS" w:eastAsia="Arial Unicode MS"/>
          <w:b w:val="0"/>
          <w:color w:val="000000"/>
          <w:sz w:val="21"/>
        </w:rPr>
        <w:t>：把 AI 接入真实流程、知识生产和管理复盘；</w:t>
      </w:r>
    </w:p>
    <w:p>
      <w:pPr>
        <w:pStyle w:val="ListNumber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第二增长曲线验证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：外部 AI 服务仅是其中一个候选方向；其验证不得替代企业增长咨询、管理训练、供应链增益服务等现有方向的统一评审。</w:t>
      </w:r>
    </w:p>
    <w:p>
      <w:r>
        <w:rPr>
          <w:rFonts w:ascii="Arial Unicode MS" w:hAnsi="Arial Unicode MS" w:eastAsia="Arial Unicode MS"/>
          <w:b w:val="0"/>
          <w:color w:val="000000"/>
          <w:sz w:val="21"/>
        </w:rPr>
        <w:t>与 当前经营重点 的 30 天运行验证并行；本执行包新增的是三条试点的证据结构，不替换现行周期、一级结构或战略优先级。</w:t>
      </w:r>
    </w:p>
    <w:p>
      <w:pPr>
        <w:pStyle w:val="Heading1"/>
      </w:pPr>
      <w:r>
        <w:t>09｜0–30–60–90 建议验证框架（不替代现行 30 天运行验证）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必须形成的证据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闸门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0–30 天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完成选点、基线和最小动作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Owner、范围、客户/产品/流程清单、基线、首轮动作、风险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无法取得基线或无真实 Owner：停止扩大范围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31–60 天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验证重复性与跨角色协作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连续两轮以上记录、反馈、质量复核、责任交接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结果不稳定：调整流程/范围，不做对外承诺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61–90 天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验证经营价值与可复制边界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结果指标变化、资源耗用、客户/内部使用反馈、复盘结论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未出现可复核价值：停止或回收资源；出现价值：提议进入知识评审</w:t>
            </w:r>
          </w:p>
        </w:tc>
      </w:tr>
    </w:tbl>
    <w:p>
      <w:pPr>
        <w:spacing w:after="20"/>
      </w:pPr>
    </w:p>
    <w:p>
      <w:pPr>
        <w:pStyle w:val="Heading2"/>
      </w:pPr>
      <w:r>
        <w:t>三条试点卡</w:t>
      </w:r>
    </w:p>
    <w:p>
      <w:pPr>
        <w:pStyle w:val="Heading3"/>
      </w:pPr>
      <w:r>
        <w:t>试点 A｜客户资产再经营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假设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：存量客户、历史联系人和未完成机会中，存在可被重新激活且符合客户价值/风险标准的机会。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最小范围</w:t>
      </w:r>
      <w:r>
        <w:rPr>
          <w:rFonts w:ascii="Arial Unicode MS" w:hAnsi="Arial Unicode MS" w:eastAsia="Arial Unicode MS"/>
          <w:b w:val="0"/>
          <w:color w:val="000000"/>
          <w:sz w:val="21"/>
        </w:rPr>
        <w:t>：选定一小批可合法访问、来源清晰的存量客户资产；逐项记录客户场景、当前关系、负责人、下一步与结果。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不做</w:t>
      </w:r>
      <w:r>
        <w:rPr>
          <w:rFonts w:ascii="Arial Unicode MS" w:hAnsi="Arial Unicode MS" w:eastAsia="Arial Unicode MS"/>
          <w:b w:val="0"/>
          <w:color w:val="000000"/>
          <w:sz w:val="21"/>
        </w:rPr>
        <w:t>：不全量导入未经授权的个人信息；不把历史联系人自动视为有效客户；不跳过客户诊断、信用和报价闸门。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基线数据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：可访问客户资产数、字段完整率、最近动作间隔、无 Owner 数、沉睡机会数、已知结果数（均待确认）。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指标</w:t>
      </w:r>
      <w:r>
        <w:rPr>
          <w:rFonts w:ascii="Arial Unicode MS" w:hAnsi="Arial Unicode MS" w:eastAsia="Arial Unicode MS"/>
          <w:b w:val="0"/>
          <w:color w:val="000000"/>
          <w:sz w:val="21"/>
        </w:rPr>
        <w:t>：有效资产完整率、完成诊断数、有效下一步率、重新激活机会数、进入报价/订单的数量与质量（口径待确认）。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继续/调整/停止闸门</w:t>
      </w:r>
      <w:r>
        <w:rPr>
          <w:rFonts w:ascii="Arial Unicode MS" w:hAnsi="Arial Unicode MS" w:eastAsia="Arial Unicode MS"/>
          <w:b w:val="0"/>
          <w:color w:val="000000"/>
          <w:sz w:val="21"/>
        </w:rPr>
        <w:t>：能取得授权数据且有真实推进→继续；字段/责任不清→先补治理；无法证明客户价值或合规访问→停止该对象。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风险</w:t>
      </w:r>
      <w:r>
        <w:rPr>
          <w:rFonts w:ascii="Arial Unicode MS" w:hAnsi="Arial Unicode MS" w:eastAsia="Arial Unicode MS"/>
          <w:b w:val="0"/>
          <w:color w:val="000000"/>
          <w:sz w:val="21"/>
        </w:rPr>
        <w:t>：隐私与商业秘密、重复触达、客户关系误判、归因错误。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Owner / 检查点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：待确认 / 待确认。</w:t>
      </w:r>
    </w:p>
    <w:p>
      <w:pPr>
        <w:pStyle w:val="Heading3"/>
      </w:pPr>
      <w:r>
        <w:t>试点 B｜优势产品客户验证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假设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：少数已具备生产/供应链基础的优势产品，在明确客户场景和价值表达后，比泛化推品更易获得有效反馈或商业机会。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最小范围</w:t>
      </w:r>
      <w:r>
        <w:rPr>
          <w:rFonts w:ascii="Arial Unicode MS" w:hAnsi="Arial Unicode MS" w:eastAsia="Arial Unicode MS"/>
          <w:b w:val="0"/>
          <w:color w:val="000000"/>
          <w:sz w:val="21"/>
        </w:rPr>
        <w:t>：选择少量产品与少量目标客户场景；每项建立产品方案卡，完成需求确认、合规/资质核验、成本与交付边界、反馈记录。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不做</w:t>
      </w:r>
      <w:r>
        <w:rPr>
          <w:rFonts w:ascii="Arial Unicode MS" w:hAnsi="Arial Unicode MS" w:eastAsia="Arial Unicode MS"/>
          <w:b w:val="0"/>
          <w:color w:val="000000"/>
          <w:sz w:val="21"/>
        </w:rPr>
        <w:t>：不把“特色/优势”写成市场事实；不承诺未经确认的功效、资质、销量、利润或客户结果；不因单次兴趣扩大开发或库存。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基线数据</w:t>
      </w:r>
      <w:r>
        <w:rPr>
          <w:rFonts w:ascii="Arial Unicode MS" w:hAnsi="Arial Unicode MS" w:eastAsia="Arial Unicode MS"/>
          <w:b w:val="0"/>
          <w:color w:val="000000"/>
          <w:sz w:val="21"/>
        </w:rPr>
        <w:t>：现有产品状态、已确认供应链/合规资料、历史询盘/打样/报价数、销售触达频率、库存/交付约束（待确认）。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指标</w:t>
      </w:r>
      <w:r>
        <w:rPr>
          <w:rFonts w:ascii="Arial Unicode MS" w:hAnsi="Arial Unicode MS" w:eastAsia="Arial Unicode MS"/>
          <w:b w:val="0"/>
          <w:color w:val="000000"/>
          <w:sz w:val="21"/>
        </w:rPr>
        <w:t>：有效客户场景数、完成方案卡数、验证反馈数、合规资料完整率、报价/打样通过率、订单/毛利/复购等结果（口径待确认）。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继续/调整/停止闸门</w:t>
      </w:r>
      <w:r>
        <w:rPr>
          <w:rFonts w:ascii="Arial Unicode MS" w:hAnsi="Arial Unicode MS" w:eastAsia="Arial Unicode MS"/>
          <w:b w:val="0"/>
          <w:color w:val="000000"/>
          <w:sz w:val="21"/>
        </w:rPr>
        <w:t>：有真实场景且资料完整→继续；反馈弱或交付约束不明→调整定位/范围；出现合规、质量或经济性红灯→停止扩大投入。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风险</w:t>
      </w:r>
      <w:r>
        <w:rPr>
          <w:rFonts w:ascii="Arial Unicode MS" w:hAnsi="Arial Unicode MS" w:eastAsia="Arial Unicode MS"/>
          <w:b w:val="0"/>
          <w:color w:val="000000"/>
          <w:sz w:val="21"/>
        </w:rPr>
        <w:t>：研发与销售脱节、合规/质量边界不清、库存与交付风险、把单次反馈误当需求。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Owner / 检查点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：待确认 / 待确认。</w:t>
      </w:r>
    </w:p>
    <w:p>
      <w:pPr>
        <w:pStyle w:val="Heading3"/>
      </w:pPr>
      <w:r>
        <w:t>试点 C｜AI 流程重构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假设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：在一个边界清晰的业务流程中，AI 可承接结构化前置工作或复盘工作，提升时效/质量，同时保留人工责任和验收。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最小范围</w:t>
      </w:r>
      <w:r>
        <w:rPr>
          <w:rFonts w:ascii="Arial Unicode MS" w:hAnsi="Arial Unicode MS" w:eastAsia="Arial Unicode MS"/>
          <w:b w:val="0"/>
          <w:color w:val="000000"/>
          <w:sz w:val="21"/>
        </w:rPr>
        <w:t>：选择一个重复、可追踪、低合规风险的流程节点；记录现状流程、输入输出、人工耗时、错误/返工、AI 辅助步骤、复核人。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不做</w:t>
      </w:r>
      <w:r>
        <w:rPr>
          <w:rFonts w:ascii="Arial Unicode MS" w:hAnsi="Arial Unicode MS" w:eastAsia="Arial Unicode MS"/>
          <w:b w:val="0"/>
          <w:color w:val="000000"/>
          <w:sz w:val="21"/>
        </w:rPr>
        <w:t>：不以工具数量代替流程结果；不让 AI 单独做价格、客户等级、合规、人员处理或其他高风险决策；不未经授权上传客户/员工敏感信息。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基线数据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：周期时长、人工工时、错误/返工率、积压量、复核次数、当前质量标准（待确认）。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指标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：周期缩短、一次通过率、返工率、人工耗用、复核通过率、流程资产复用率和责任回写率（口径待确认）。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继续/调整/停止闸门</w:t>
      </w:r>
      <w:r>
        <w:rPr>
          <w:rFonts w:ascii="Arial Unicode MS" w:hAnsi="Arial Unicode MS" w:eastAsia="Arial Unicode MS"/>
          <w:b w:val="0"/>
          <w:color w:val="000000"/>
          <w:sz w:val="21"/>
        </w:rPr>
        <w:t>：结果可复核且责任清晰→继续；质量或责任不稳定→缩小范围并调整；出现数据、合规或质量事故→立即停止并复盘。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风险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：幻觉/误判、敏感数据泄露、责任漂移、流程局部优化反而增加总成本。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/>
          <w:color w:val="000000"/>
          <w:sz w:val="21"/>
        </w:rPr>
        <w:t>Owner / 检查点</w:t>
      </w:r>
      <w:r>
        <w:rPr>
          <w:rFonts w:ascii="Arial Unicode MS" w:hAnsi="Arial Unicode MS" w:eastAsia="Arial Unicode MS"/>
          <w:b w:val="0"/>
          <w:color w:val="000000"/>
          <w:sz w:val="21"/>
        </w:rPr>
        <w:t>：待确认 / 待确认。</w:t>
      </w:r>
    </w:p>
    <w:p>
      <w:pPr>
        <w:pStyle w:val="Heading1"/>
      </w:pPr>
      <w:r>
        <w:t>10｜知识入库建议（本轮不改主资产）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内容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重复判断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成熟度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目标主资产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建议动作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客户资产再经营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Merge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Insight / 待试点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Customer OS｜客户经营系统、企业经营原则——客户资产沉淀原则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先在试点形成证据，再提议升级主资产；不新增平行客户系统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优势产品客户验证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Merge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Insight / 待试点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产品机会立项与开发闭环 SOP、产品方案卡索引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每个候选产品使用既有方案卡与立项闸门；不新增产品理论编号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AI 流程重构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Merge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Insight / 待试点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AIOS 运行地图、AI 时代管理层进化落地方案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记录流程级基线和复盘；不把工具使用直接写成组织结论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外部 AI 服务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Merge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Candidate / 待验证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当前战略、AIOS 运行地图、企业管理产品系统、管理者 AI 经营能力训练营产品蓝图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仅保留假设、访谈、付费/交付证据和边界；不提前 Frozen 或对外承诺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短视频记录实践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New / 待归位判断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Insight / 暂不升级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暂不合并现有视频资产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作为公开验证载体，需真实可复核过程与原始反馈；先验证其与既有视频生产流程是否同属一套机制，再决定 Merge 或独立案例归位</w:t>
            </w:r>
          </w:p>
        </w:tc>
      </w:tr>
    </w:tbl>
    <w:p>
      <w:pPr>
        <w:spacing w:after="20"/>
      </w:pPr>
    </w:p>
    <w:p>
      <w:pPr>
        <w:pStyle w:val="Heading1"/>
      </w:pPr>
      <w:r>
        <w:t>11｜执行回写模板（待确认后填写）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试点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Owner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起止日期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基线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本轮动作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结果证据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继续/调整/停止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7"/>
              </w:rPr>
              <w:t>下一检查点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客户资产再经营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优势产品客户验证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</w:tr>
      <w:tr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AI 流程重构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待确认</w:t>
            </w:r>
          </w:p>
        </w:tc>
      </w:tr>
    </w:tbl>
    <w:p>
      <w:pPr>
        <w:spacing w:after="20"/>
      </w:pPr>
    </w:p>
    <w:p>
      <w:pPr>
        <w:pStyle w:val="Heading1"/>
      </w:pPr>
      <w:r>
        <w:t>12｜成熟度与治理声明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本文件保持 Draft，不创建正式理论编号，不把 Candidate 批准为 Frozen。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本轮不修改 Customer OS、产品 SOP、AIOS、当前战略或其他主资产；只提供链接型入库建议。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任何事实升级必须补充来源、版本/日期、范围、复核人、失效条件和验证证据。</w:t>
      </w:r>
    </w:p>
    <w:p>
      <w:pPr>
        <w:pStyle w:val="ListBullet"/>
        <w:spacing w:after="80" w:line="269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会议结论如经业务负责人确认，应回写当前经营重点、Decision Log 或 Enterprise Daily；不以新增文件数量代替经营结果。</w:t>
      </w:r>
    </w:p>
    <w:p>
      <w:r>
        <w:rPr>
          <w:rFonts w:ascii="Arial Unicode MS" w:hAnsi="Arial Unicode MS" w:eastAsia="Arial Unicode MS"/>
          <w:b w:val="0"/>
          <w:color w:val="000000"/>
          <w:sz w:val="21"/>
        </w:rPr>
        <w:t>Updated：2026-07-20</w:t>
      </w:r>
    </w:p>
    <w:p>
      <w:r>
        <w:rPr>
          <w:rFonts w:ascii="Arial Unicode MS" w:hAnsi="Arial Unicode MS" w:eastAsia="Arial Unicode MS"/>
          <w:b w:val="0"/>
          <w:color w:val="000000"/>
          <w:sz w:val="21"/>
        </w:rPr>
        <w:t>Status：Draft</w:t>
      </w:r>
    </w:p>
    <w:p>
      <w:r>
        <w:rPr>
          <w:rFonts w:ascii="Arial Unicode MS" w:hAnsi="Arial Unicode MS" w:eastAsia="Arial Unicode MS"/>
          <w:b w:val="0"/>
          <w:color w:val="000000"/>
          <w:sz w:val="21"/>
        </w:rPr>
        <w:t>下一步：待确认负责人、参会范围、三条试点 Owner、基线、期限、预算和首次检查时间。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666666"/>
        <w:sz w:val="18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 Unicode MS" w:hAnsi="Arial Unicode MS" w:eastAsia="Arial Unicode MS"/>
        <w:b w:val="0"/>
        <w:color w:val="666666"/>
        <w:sz w:val="17"/>
      </w:rPr>
      <w:t>内部管理执行草案  |  Enterprise Brain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2026-07-20｜业务痛点复盘与AI战略转型部署会议执行包（内部草案）V0.1</dc:title>
  <dc:subject>内部管理执行草案</dc:subject>
  <dc:creator>Enterprise Brain</dc:creator>
  <cp:keywords>Internal Only; Draft; AI Transformation; Customer Asset; Product Validation</cp:keywords>
  <dc:description>generated by python-docx</dc:description>
  <cp:lastModifiedBy/>
  <cp:revision>1</cp:revision>
  <dcterms:created xsi:type="dcterms:W3CDTF">2026-07-20T05:34:58Z</dcterms:created>
  <dcterms:modified xsi:type="dcterms:W3CDTF">2026-07-20T05:34:58Z</dcterms:modified>
  <cp:category/>
</cp:coreProperties>
</file>