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7365D"/>
          <w:sz w:val="24"/>
        </w:rPr>
        <w:t>广州七遇生物科技有限公司</w:t>
      </w:r>
    </w:p>
    <w:p>
      <w:pPr>
        <w:spacing w:after="40"/>
        <w:jc w:val="center"/>
      </w:pPr>
      <w:r>
        <w:rPr>
          <w:rFonts w:ascii="方正小标宋简体" w:hAnsi="方正小标宋简体" w:eastAsia="方正小标宋简体"/>
          <w:b/>
          <w:color w:val="17365D"/>
          <w:sz w:val="40"/>
        </w:rPr>
        <w:t>关于试行《异常问题处理闭环机制》的通知</w:t>
      </w:r>
    </w:p>
    <w:p>
      <w:pPr>
        <w:spacing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文件编号：QI-GL-001　｜　版本：V1.0　｜　发布日期：2026年7月24日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355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发现即上报 · 先控制风险 · 责任到人 · 结果必验证 · 经验要沉淀</w:t>
            </w:r>
          </w:p>
        </w:tc>
      </w:tr>
    </w:tbl>
    <w:p>
      <w:pPr>
        <w:spacing w:after="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2"/>
        </w:rPr>
        <w:t>为提高异常问题处理效率，及时控制经营风险，解决信息滞后、责任不清、跨部门协同不畅和问题重复发生等现象，经总经办审议，现发布《异常问题处理闭环机制（试行）》。各部门须组织学习并严格执行。</w:t>
      </w:r>
    </w:p>
    <w:p>
      <w:pPr>
        <w:keepNext/>
        <w:spacing w:before="180" w:after="80"/>
      </w:pPr>
      <w:r>
        <w:rPr>
          <w:rFonts w:ascii="微软雅黑" w:hAnsi="微软雅黑" w:eastAsia="微软雅黑"/>
          <w:b/>
          <w:color w:val="17365D"/>
          <w:sz w:val="26"/>
        </w:rPr>
        <w:t>一、适用范围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2"/>
        </w:rPr>
        <w:t>适用于全公司在质量、客户、交付、生产、研发、采购、成本、财务、安全及内部管理等方面出现的异常事项。</w:t>
      </w:r>
    </w:p>
    <w:p>
      <w:pPr>
        <w:keepNext/>
        <w:spacing w:before="180" w:after="80"/>
      </w:pPr>
      <w:r>
        <w:rPr>
          <w:rFonts w:ascii="微软雅黑" w:hAnsi="微软雅黑" w:eastAsia="微软雅黑"/>
          <w:b/>
          <w:color w:val="17365D"/>
          <w:sz w:val="26"/>
        </w:rPr>
        <w:t>二、处理原则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发现即上报：任何员工发现异常，都有义务第一时间报告，不得隐瞒、淡化或拖延。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先控制后分析：先停止、隔离、保留证据，防止风险扩大，再组织分析和处理。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谁主导谁闭环：部门负责人负责统筹，明确唯一责任人、解决措施和完成时间。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结果必须验证：不能以“已沟通”“已安排”“已处理”代替结果验证。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解决必须沉淀：处理完成后形成或更新SOP、检查表、操作标准或培训案例。</w:t>
      </w:r>
    </w:p>
    <w:p>
      <w:pPr>
        <w:keepNext/>
        <w:spacing w:before="180" w:after="80"/>
      </w:pPr>
      <w:r>
        <w:rPr>
          <w:rFonts w:ascii="微软雅黑" w:hAnsi="微软雅黑" w:eastAsia="微软雅黑"/>
          <w:b/>
          <w:color w:val="17365D"/>
          <w:sz w:val="26"/>
        </w:rPr>
        <w:t>三、异常分级与升级规则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13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362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1871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处理主体</w:t>
            </w:r>
          </w:p>
        </w:tc>
        <w:tc>
          <w:tcPr>
            <w:tcW w:type="dxa" w:w="2721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上报要求</w:t>
            </w:r>
          </w:p>
        </w:tc>
      </w:tr>
      <w:tr>
        <w:tc>
          <w:tcPr>
            <w:tcW w:type="dxa" w:w="1134"/>
            <w:shd w:fill="EAF1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7365D"/>
                <w:sz w:val="18"/>
              </w:rPr>
              <w:t>一般异常</w:t>
            </w:r>
          </w:p>
        </w:tc>
        <w:tc>
          <w:tcPr>
            <w:tcW w:type="dxa" w:w="3628"/>
            <w:shd w:fill="EAF1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影响范围较小，责任部门可控制，未造成重大客户、质量、安全、交付或经营风险。</w:t>
            </w:r>
          </w:p>
        </w:tc>
        <w:tc>
          <w:tcPr>
            <w:tcW w:type="dxa" w:w="1871"/>
            <w:shd w:fill="EAF1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部门负责人组织处理</w:t>
            </w:r>
          </w:p>
        </w:tc>
        <w:tc>
          <w:tcPr>
            <w:tcW w:type="dxa" w:w="2721"/>
            <w:shd w:fill="EAF1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立即报告部门负责人；按明确节点处理并反馈。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7365D"/>
                <w:sz w:val="18"/>
              </w:rPr>
              <w:t>重大/紧急异常</w:t>
            </w:r>
          </w:p>
        </w:tc>
        <w:tc>
          <w:tcPr>
            <w:tcW w:type="dxa" w:w="36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涉及客户投诉、产品质量或安全风险、交付中断、较大损失、跨部门冲突，或短时间内无法控制。</w:t>
            </w:r>
          </w:p>
        </w:tc>
        <w:tc>
          <w:tcPr>
            <w:tcW w:type="dxa" w:w="1871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总经办决策，相关部门协同</w:t>
            </w:r>
          </w:p>
        </w:tc>
        <w:tc>
          <w:tcPr>
            <w:tcW w:type="dxa" w:w="2721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立即升级总经办；不得等待一般流程结束后再报告。</w:t>
            </w:r>
          </w:p>
        </w:tc>
      </w:tr>
    </w:tbl>
    <w:p>
      <w:pPr>
        <w:keepNext/>
        <w:spacing w:before="180" w:after="80"/>
      </w:pPr>
      <w:r>
        <w:rPr>
          <w:rFonts w:ascii="微软雅黑" w:hAnsi="微软雅黑" w:eastAsia="微软雅黑"/>
          <w:b/>
          <w:color w:val="17365D"/>
          <w:sz w:val="26"/>
        </w:rPr>
        <w:t>四、异常问题七步闭环流程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087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执行要求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7365D"/>
                <w:sz w:val="18"/>
              </w:rPr>
              <w:t>1. 发现异常</w:t>
            </w:r>
          </w:p>
        </w:tc>
        <w:tc>
          <w:tcPr>
            <w:tcW w:type="dxa" w:w="7087"/>
            <w:shd w:fill="EAF1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发现质量、客户、交付、成本、安全或管理异常。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7365D"/>
                <w:sz w:val="18"/>
              </w:rPr>
              <w:t>2. 立即控制并上报</w:t>
            </w:r>
          </w:p>
        </w:tc>
        <w:tc>
          <w:tcPr>
            <w:tcW w:type="dxa" w:w="7087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先停止、隔离、保留证据；第一时间报告部门负责人，紧急事项同步相关部门。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7365D"/>
                <w:sz w:val="18"/>
              </w:rPr>
              <w:t>3. 判断级别，明确责任</w:t>
            </w:r>
          </w:p>
        </w:tc>
        <w:tc>
          <w:tcPr>
            <w:tcW w:type="dxa" w:w="7087"/>
            <w:shd w:fill="EAF1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确定一般或重大/紧急异常，明确责任人、措施、完成时间和验证方式。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7365D"/>
                <w:sz w:val="18"/>
              </w:rPr>
              <w:t>4. 执行解决方案</w:t>
            </w:r>
          </w:p>
        </w:tc>
        <w:tc>
          <w:tcPr>
            <w:tcW w:type="dxa" w:w="7087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责任人按节点落实；相关部门主动配合；过程及时更新，新风险再次升级。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7365D"/>
                <w:sz w:val="18"/>
              </w:rPr>
              <w:t>5. 验证是否彻底解决</w:t>
            </w:r>
          </w:p>
        </w:tc>
        <w:tc>
          <w:tcPr>
            <w:tcW w:type="dxa" w:w="7087"/>
            <w:shd w:fill="EAF1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以数据、实物、客户确认或现场复核验证；未解决则返回上一步重新处理。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7365D"/>
                <w:sz w:val="18"/>
              </w:rPr>
              <w:t>6. 管理群反馈闭环</w:t>
            </w:r>
          </w:p>
        </w:tc>
        <w:tc>
          <w:tcPr>
            <w:tcW w:type="dxa" w:w="7087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将事实、影响、原因、动作、责任人、完成时间和验证结果统一反馈。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7365D"/>
                <w:sz w:val="18"/>
              </w:rPr>
              <w:t>7. 总结标准并沉淀</w:t>
            </w:r>
          </w:p>
        </w:tc>
        <w:tc>
          <w:tcPr>
            <w:tcW w:type="dxa" w:w="7087"/>
            <w:shd w:fill="EAF1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形成或更新SOP、检查表、操作标准和培训案例，由行政人事部归档并组织同步。</w:t>
            </w:r>
          </w:p>
        </w:tc>
      </w:tr>
    </w:tbl>
    <w:p>
      <w:pPr>
        <w:keepNext/>
        <w:spacing w:before="180" w:after="80"/>
      </w:pPr>
      <w:r>
        <w:rPr>
          <w:rFonts w:ascii="微软雅黑" w:hAnsi="微软雅黑" w:eastAsia="微软雅黑"/>
          <w:b/>
          <w:color w:val="17365D"/>
          <w:sz w:val="26"/>
        </w:rPr>
        <w:t>五、责任边界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发现人：立即上报、控制现场、提供真实完整信息和证据。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部门负责人：判断级别、组织分析、明确责任人和节点，并对闭环结果负责。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执行责任人：按方案落实、主动汇报进度、提交可验证结果。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相关部门：提供专业意见和资源，不得以“非本部门事项”为由推诿。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总经办：对重大/紧急异常作出决策，协调资源并监督执行。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行政人事部：负责制度宣导、闭环资料归档、执行监督及修订组织。</w:t>
      </w:r>
    </w:p>
    <w:p>
      <w:pPr>
        <w:keepNext/>
        <w:spacing w:before="180" w:after="80"/>
      </w:pPr>
      <w:r>
        <w:rPr>
          <w:rFonts w:ascii="微软雅黑" w:hAnsi="微软雅黑" w:eastAsia="微软雅黑"/>
          <w:b/>
          <w:color w:val="17365D"/>
          <w:sz w:val="26"/>
        </w:rPr>
        <w:t>六、管理群统一反馈标准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2"/>
        </w:rPr>
        <w:t>所有异常闭环须在“各部门管理沟通群”按以下格式反馈；信息未完整、结果未验证的，不视为结案：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355"/>
            <w:shd w:fill="EAF1F8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【异常闭环反馈】</w:t>
              <w:br/>
              <w:t>1. 事实：发生了什么、何时何地发现</w:t>
              <w:br/>
              <w:t>2. 影响：涉及客户、产品、交付、成本或安全的范围</w:t>
              <w:br/>
              <w:t>3. 原因：已确认原因；未确认的须写明待验证项</w:t>
              <w:br/>
              <w:t>4. 动作：临时控制措施＋根治措施</w:t>
              <w:br/>
              <w:t>5. 责任：责任人、协同部门、完成时间</w:t>
              <w:br/>
              <w:t>6. 验证：数据、实物、客户确认或现场复核结果</w:t>
              <w:br/>
              <w:t>7. 沉淀：新增/更新的SOP、检查表、标准或培训安排</w:t>
            </w:r>
          </w:p>
        </w:tc>
      </w:tr>
    </w:tbl>
    <w:p>
      <w:pPr>
        <w:keepNext/>
        <w:spacing w:before="180" w:after="80"/>
      </w:pPr>
      <w:r>
        <w:rPr>
          <w:rFonts w:ascii="微软雅黑" w:hAnsi="微软雅黑" w:eastAsia="微软雅黑"/>
          <w:b/>
          <w:color w:val="17365D"/>
          <w:sz w:val="26"/>
        </w:rPr>
        <w:t>七、闭环标准与处理红线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2"/>
        </w:rPr>
        <w:t>同时满足“问题已解决、结果已验证、管理群已反馈、标准已沉淀”四项要求，方可结案。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隐瞒不报、拖延升级，导致风险扩大；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无责任人、无完成时间，长期停留在讨论状态；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未经验证即宣布结案，或以口头回复代替事实依据；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同类问题反复发生，但未复盘、未修订标准或未组织培训；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伪造、篡改异常记录或验证结果。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2"/>
        </w:rPr>
        <w:t>出现上述情形的，由部门负责人或总经办组织核查，并依公司依法制定、民主协商且已公示生效的绩效及纪律制度处理；造成损失的，按法律法规、劳动合同及公司制度追究相应责任。</w:t>
      </w:r>
    </w:p>
    <w:p>
      <w:pPr>
        <w:keepNext/>
        <w:spacing w:before="180" w:after="80"/>
      </w:pPr>
      <w:r>
        <w:rPr>
          <w:rFonts w:ascii="微软雅黑" w:hAnsi="微软雅黑" w:eastAsia="微软雅黑"/>
          <w:b/>
          <w:color w:val="17365D"/>
          <w:sz w:val="26"/>
        </w:rPr>
        <w:t>八、正向激励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2"/>
        </w:rPr>
        <w:t>对主动发现重大风险、及时上报并有效避免损失，或提出解决方案并转化为公司作业标准的员工，可由部门提报，经总经办审批后给予通报表扬及创新激励。具体标准按公司现行激励制度执行。</w:t>
      </w:r>
    </w:p>
    <w:p>
      <w:pPr>
        <w:keepNext/>
        <w:spacing w:before="180" w:after="80"/>
      </w:pPr>
      <w:r>
        <w:rPr>
          <w:rFonts w:ascii="微软雅黑" w:hAnsi="微软雅黑" w:eastAsia="微软雅黑"/>
          <w:b/>
          <w:color w:val="17365D"/>
          <w:sz w:val="26"/>
        </w:rPr>
        <w:t>九、执行与复审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本机制自发布之日起试行，各部门负责人为本部门落实第一责任人。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各部门须在发布后组织学习，并将本机制纳入新员工及岗位培训。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行政人事部负责收集执行问题；试行30天后组织首次复盘，后续每半年复审一次。</w:t>
      </w:r>
    </w:p>
    <w:p>
      <w:pPr>
        <w:spacing w:line="312" w:lineRule="auto" w:after="40"/>
        <w:ind w:left="420" w:hanging="255"/>
      </w:pPr>
      <w:r>
        <w:rPr>
          <w:rFonts w:ascii="宋体" w:hAnsi="宋体" w:eastAsia="宋体"/>
          <w:sz w:val="21"/>
        </w:rPr>
        <w:t>•  涉及员工切身利益的配套奖惩、绩效或纪律条款，应按法定民主程序制定并完成公示后执行。</w:t>
      </w:r>
    </w:p>
    <w:p>
      <w:pPr>
        <w:spacing w:before="240" w:after="40"/>
        <w:jc w:val="right"/>
      </w:pPr>
      <w:r>
        <w:rPr>
          <w:rFonts w:ascii="宋体" w:hAnsi="宋体" w:eastAsia="宋体"/>
          <w:b/>
          <w:sz w:val="22"/>
        </w:rPr>
        <w:t>广州七遇生物科技有限公司</w:t>
      </w:r>
    </w:p>
    <w:p>
      <w:pPr>
        <w:jc w:val="right"/>
      </w:pPr>
      <w:r>
        <w:rPr>
          <w:rFonts w:ascii="宋体" w:hAnsi="宋体" w:eastAsia="宋体"/>
          <w:sz w:val="22"/>
        </w:rPr>
        <w:t>2026年7月24日</w:t>
      </w:r>
    </w:p>
    <w:p>
      <w:pPr>
        <w:sectPr>
          <w:headerReference w:type="default" r:id="rId9"/>
          <w:footerReference w:type="default" r:id="rId10"/>
          <w:pgSz w:w="12240" w:h="15840"/>
          <w:pgMar w:top="1020" w:right="1219" w:bottom="964" w:left="1219" w:header="720" w:footer="720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微软雅黑" w:hAnsi="微软雅黑" w:eastAsia="微软雅黑"/>
          <w:b/>
          <w:color w:val="17365D"/>
          <w:sz w:val="32"/>
        </w:rPr>
        <w:t>附件：异常问题处理闭环流程图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异常问题处理闭环流程_公司公布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8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20" w:right="1219" w:bottom="96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66666"/>
        <w:sz w:val="17"/>
      </w:rPr>
      <w:t>小问题不过夜，大问题不隐瞒，解决后必须形成标准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666666"/>
        <w:sz w:val="17"/>
      </w:rPr>
      <w:t>七遇集团｜内部管理制度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