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560"/>
        <w:spacing w:before="52" w:line="221" w:lineRule="auto"/>
        <w:rPr/>
      </w:pPr>
      <w:r>
        <w:rPr>
          <w:b/>
          <w:bCs/>
          <w:spacing w:val="-2"/>
        </w:rPr>
        <w:t>第一步：学会“阅读”食品——揭秘配料表</w:t>
      </w:r>
      <w:r>
        <w:rPr>
          <w:b/>
          <w:bCs/>
          <w:spacing w:val="-3"/>
        </w:rPr>
        <w:t>的奥秘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right="2" w:firstLine="556"/>
        <w:spacing w:before="84" w:line="319" w:lineRule="auto"/>
        <w:rPr>
          <w:sz w:val="32"/>
          <w:szCs w:val="32"/>
        </w:rPr>
      </w:pPr>
      <w:r>
        <w:rPr>
          <w:spacing w:val="8"/>
        </w:rPr>
        <w:t>小琪在选购零食时，格外关注“配料表”和“加工方式”,这是一个很好科学的习惯。学会看懂食品标签，是健康饮食的第一</w:t>
      </w:r>
      <w:r>
        <w:rPr>
          <w:spacing w:val="3"/>
        </w:rPr>
        <w:t xml:space="preserve"> </w:t>
      </w:r>
      <w:r>
        <w:rPr>
          <w:sz w:val="32"/>
          <w:szCs w:val="32"/>
          <w:spacing w:val="-17"/>
        </w:rPr>
        <w:t>步。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560"/>
        <w:spacing w:before="85" w:line="213" w:lineRule="auto"/>
        <w:outlineLvl w:val="1"/>
        <w:rPr/>
      </w:pPr>
      <w:r>
        <w:rPr>
          <w:b/>
          <w:bCs/>
          <w:spacing w:val="6"/>
        </w:rPr>
        <w:t>1.配料表：越短越好，排名越靠前含量越高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right="215" w:firstLine="556"/>
        <w:spacing w:before="85" w:line="313" w:lineRule="auto"/>
        <w:rPr/>
      </w:pPr>
      <w:r>
        <w:rPr>
          <w:spacing w:val="17"/>
        </w:rPr>
        <w:t>根据我国《</w:t>
      </w:r>
      <w:r>
        <w:rPr>
          <w:rFonts w:ascii="Arial" w:hAnsi="Arial" w:eastAsia="Arial" w:cs="Arial"/>
        </w:rPr>
        <w:t>GB</w:t>
      </w:r>
      <w:r>
        <w:rPr>
          <w:rFonts w:ascii="Arial" w:hAnsi="Arial" w:eastAsia="Arial" w:cs="Arial"/>
          <w:spacing w:val="17"/>
        </w:rPr>
        <w:t>7718-2011</w:t>
      </w:r>
      <w:r>
        <w:rPr>
          <w:spacing w:val="17"/>
        </w:rPr>
        <w:t>食品安全国家标准预包装食品标签通则》,配料表中的各种成分必须按照添加量的递减顺序—</w:t>
      </w:r>
      <w:r>
        <w:rPr>
          <w:spacing w:val="16"/>
        </w:rPr>
        <w:t xml:space="preserve"> </w:t>
      </w:r>
      <w:r>
        <w:rPr>
          <w:spacing w:val="11"/>
        </w:rPr>
        <w:t>排列。这意味着，排在第一位的成分，含量最高。</w:t>
      </w:r>
    </w:p>
    <w:p>
      <w:pPr>
        <w:spacing w:line="469" w:lineRule="auto"/>
        <w:rPr>
          <w:rFonts w:ascii="Arial"/>
          <w:sz w:val="21"/>
        </w:rPr>
      </w:pPr>
      <w:r/>
    </w:p>
    <w:p>
      <w:pPr>
        <w:pStyle w:val="BodyText"/>
        <w:ind w:right="5" w:firstLine="559"/>
        <w:spacing w:before="85" w:line="349" w:lineRule="auto"/>
        <w:rPr/>
      </w:pPr>
      <w:r>
        <w:rPr>
          <w:b/>
          <w:bCs/>
        </w:rPr>
        <w:t>看清“真面目”:</w:t>
      </w:r>
      <w:r>
        <w:rPr>
          <w:spacing w:val="-72"/>
        </w:rPr>
        <w:t xml:space="preserve"> </w:t>
      </w:r>
      <w:r>
        <w:rPr/>
        <w:t>当你购买一款“全麦面包”时，如果</w:t>
      </w:r>
      <w:r>
        <w:rPr>
          <w:spacing w:val="-1"/>
        </w:rPr>
        <w:t>配料表第一位是“小麦粉”而非“全麦粉”,那它可能并非你想象的那么健</w:t>
      </w:r>
      <w:r>
        <w:rPr/>
        <w:t xml:space="preserve"> </w:t>
      </w:r>
      <w:r>
        <w:rPr>
          <w:spacing w:val="3"/>
        </w:rPr>
        <w:t>康。同理，小琪选择的苹果干，配料表里“只有苹果”,这才是真正的“</w:t>
      </w:r>
      <w:r>
        <w:rPr>
          <w:spacing w:val="2"/>
        </w:rPr>
        <w:t>清洁标签”,意味着没有不必要的添加。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right="14" w:firstLine="559"/>
        <w:spacing w:before="84" w:line="328" w:lineRule="auto"/>
        <w:rPr/>
      </w:pPr>
      <w:r>
        <w:rPr>
          <w:b/>
          <w:bCs/>
          <w:spacing w:val="3"/>
        </w:rPr>
        <w:t>警惕“隐形糖”和“隐形盐”</w:t>
      </w:r>
      <w:r>
        <w:rPr>
          <w:spacing w:val="3"/>
        </w:rPr>
        <w:t>:购买酸奶、果</w:t>
      </w:r>
      <w:r>
        <w:rPr>
          <w:spacing w:val="2"/>
        </w:rPr>
        <w:t>汁或酱料时，要留意白砂糖、果葡糖浆、麦芽糖浆等“糖家族”成员的位置。如果</w:t>
      </w:r>
      <w:r>
        <w:rPr/>
        <w:t xml:space="preserve"> </w:t>
      </w:r>
      <w:r>
        <w:rPr>
          <w:spacing w:val="12"/>
        </w:rPr>
        <w:t>它们排得很靠前，说明添加糖含量不容小觑。同样，也要注</w:t>
      </w:r>
      <w:r>
        <w:rPr>
          <w:spacing w:val="11"/>
        </w:rPr>
        <w:t>意酱油、味精、食用盐等含钠成分。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ind w:left="560"/>
        <w:spacing w:before="85" w:line="221" w:lineRule="auto"/>
        <w:outlineLvl w:val="1"/>
        <w:rPr/>
      </w:pPr>
      <w:r>
        <w:rPr>
          <w:b/>
          <w:bCs/>
          <w:spacing w:val="-7"/>
        </w:rPr>
        <w:t>2.加工方式：选择“温柔”的烹饪艺术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556"/>
        <w:spacing w:before="85" w:line="221" w:lineRule="auto"/>
        <w:rPr/>
      </w:pPr>
      <w:r>
        <w:rPr>
          <w:spacing w:val="-9"/>
        </w:rPr>
        <w:t>小琪提到会避开“油炸”,首选“烘烤类”。这是一个明智之举。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right="3" w:firstLine="560"/>
        <w:spacing w:before="85" w:line="353" w:lineRule="auto"/>
        <w:rPr/>
      </w:pPr>
      <w:r>
        <w:rPr>
          <w:b/>
          <w:bCs/>
          <w:spacing w:val="10"/>
        </w:rPr>
        <w:t>油</w:t>
      </w:r>
      <w:r>
        <w:rPr>
          <w:spacing w:val="-29"/>
        </w:rPr>
        <w:t xml:space="preserve"> </w:t>
      </w:r>
      <w:r>
        <w:rPr>
          <w:b/>
          <w:bCs/>
          <w:spacing w:val="10"/>
        </w:rPr>
        <w:t>炸</w:t>
      </w:r>
      <w:r>
        <w:rPr>
          <w:rFonts w:ascii="SimSun" w:hAnsi="SimSun" w:eastAsia="SimSun" w:cs="SimSun"/>
          <w:b/>
          <w:bCs/>
        </w:rPr>
        <w:t>vs</w:t>
      </w:r>
      <w:r>
        <w:rPr>
          <w:b/>
          <w:bCs/>
          <w:spacing w:val="10"/>
        </w:rPr>
        <w:t>烘烤/冻干：</w:t>
      </w:r>
      <w:r>
        <w:rPr>
          <w:spacing w:val="10"/>
        </w:rPr>
        <w:t>油炸会使食物吸收大量油脂，导致热量飙升，并可能在高温下产生丙烯酰胺等潜在有害物质。而烘烤、</w:t>
      </w:r>
      <w:r>
        <w:rPr/>
        <w:t xml:space="preserve"> </w:t>
      </w:r>
      <w:r>
        <w:rPr>
          <w:spacing w:val="16"/>
        </w:rPr>
        <w:t>蒸煮、非油炸膨化以及冻干</w:t>
      </w:r>
      <w:r>
        <w:rPr>
          <w:rFonts w:ascii="SimSun" w:hAnsi="SimSun" w:eastAsia="SimSun" w:cs="SimSun"/>
          <w:spacing w:val="16"/>
        </w:rPr>
        <w:t>(</w:t>
      </w:r>
      <w:r>
        <w:rPr>
          <w:rFonts w:ascii="SimSun" w:hAnsi="SimSun" w:eastAsia="SimSun" w:cs="SimSun"/>
        </w:rPr>
        <w:t>FD</w:t>
      </w:r>
      <w:r>
        <w:rPr>
          <w:rFonts w:ascii="SimSun" w:hAnsi="SimSun" w:eastAsia="SimSun" w:cs="SimSun"/>
          <w:spacing w:val="16"/>
        </w:rPr>
        <w:t>)  </w:t>
      </w:r>
      <w:r>
        <w:rPr>
          <w:spacing w:val="16"/>
        </w:rPr>
        <w:t>技术，能更好地保留食物营养</w:t>
      </w:r>
      <w:r>
        <w:rPr>
          <w:spacing w:val="15"/>
        </w:rPr>
        <w:t>和风味，同时减少脂肪摄入。小琪选择的苹果干、地瓜干很可</w:t>
      </w:r>
      <w:r>
        <w:rPr/>
        <w:t xml:space="preserve"> </w:t>
      </w:r>
      <w:r>
        <w:rPr>
          <w:spacing w:val="10"/>
        </w:rPr>
        <w:t>能就采用了这类技术。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560"/>
        <w:spacing w:before="84" w:line="221" w:lineRule="auto"/>
        <w:rPr/>
      </w:pPr>
      <w:r>
        <w:rPr>
          <w:b/>
          <w:bCs/>
          <w:spacing w:val="-2"/>
        </w:rPr>
        <w:t>第二步：解码“营养密码”——看懂营养成分表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556"/>
        <w:spacing w:before="85" w:line="213" w:lineRule="auto"/>
        <w:rPr/>
      </w:pPr>
      <w:r>
        <w:rPr>
          <w:spacing w:val="6"/>
        </w:rPr>
        <w:t>营养成分表是评估零食价值的核心。我们重点关注“1+4”核心数据：能量，以及蛋白</w:t>
      </w:r>
      <w:r>
        <w:rPr>
          <w:spacing w:val="5"/>
        </w:rPr>
        <w:t>质、脂肪、碳水化合物和钠。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right="13" w:firstLine="559"/>
        <w:spacing w:before="85" w:line="283" w:lineRule="auto"/>
        <w:rPr/>
      </w:pPr>
      <w:r>
        <w:rPr>
          <w:rFonts w:ascii="SimSun" w:hAnsi="SimSun" w:eastAsia="SimSun" w:cs="SimSun"/>
          <w:b/>
          <w:bCs/>
          <w:spacing w:val="10"/>
        </w:rPr>
        <w:t>1.</w:t>
      </w:r>
      <w:r>
        <w:rPr>
          <w:b/>
          <w:bCs/>
          <w:spacing w:val="10"/>
        </w:rPr>
        <w:t>能量(干焦/</w:t>
      </w:r>
      <w:r>
        <w:rPr>
          <w:rFonts w:ascii="SimSun" w:hAnsi="SimSun" w:eastAsia="SimSun" w:cs="SimSun"/>
          <w:b/>
          <w:bCs/>
        </w:rPr>
        <w:t>kJ</w:t>
      </w:r>
      <w:r>
        <w:rPr>
          <w:rFonts w:ascii="SimSun" w:hAnsi="SimSun" w:eastAsia="SimSun" w:cs="SimSun"/>
          <w:b/>
          <w:bCs/>
          <w:spacing w:val="10"/>
        </w:rPr>
        <w:t>)</w:t>
      </w:r>
      <w:r>
        <w:rPr>
          <w:rFonts w:ascii="SimSun" w:hAnsi="SimSun" w:eastAsia="SimSun" w:cs="SimSun"/>
          <w:spacing w:val="71"/>
        </w:rPr>
        <w:t xml:space="preserve"> </w:t>
      </w:r>
      <w:r>
        <w:rPr>
          <w:spacing w:val="10"/>
        </w:rPr>
        <w:t>:</w:t>
      </w:r>
      <w:r>
        <w:rPr>
          <w:spacing w:val="45"/>
        </w:rPr>
        <w:t xml:space="preserve"> </w:t>
      </w:r>
      <w:r>
        <w:rPr>
          <w:spacing w:val="10"/>
        </w:rPr>
        <w:t>这是热量的直观体现。需要注意的是，营养成分表通常以“每100克</w:t>
      </w:r>
      <w:r>
        <w:rPr>
          <w:rFonts w:ascii="SimSun" w:hAnsi="SimSun" w:eastAsia="SimSun" w:cs="SimSun"/>
          <w:spacing w:val="10"/>
        </w:rPr>
        <w:t>(g</w:t>
      </w:r>
      <w:r>
        <w:rPr>
          <w:rFonts w:ascii="SimSun" w:hAnsi="SimSun" w:eastAsia="SimSun" w:cs="SimSun"/>
          <w:spacing w:val="9"/>
        </w:rPr>
        <w:t>)”</w:t>
      </w:r>
      <w:r>
        <w:rPr>
          <w:spacing w:val="9"/>
        </w:rPr>
        <w:t>或“每100毫升</w:t>
      </w:r>
      <w:r>
        <w:rPr>
          <w:spacing w:val="-31"/>
        </w:rPr>
        <w:t xml:space="preserve"> </w:t>
      </w:r>
      <w:r>
        <w:rPr>
          <w:rFonts w:ascii="SimSun" w:hAnsi="SimSun" w:eastAsia="SimSun" w:cs="SimSun"/>
          <w:spacing w:val="9"/>
        </w:rPr>
        <w:t>(</w:t>
      </w:r>
      <w:r>
        <w:rPr>
          <w:rFonts w:ascii="SimSun" w:hAnsi="SimSun" w:eastAsia="SimSun" w:cs="SimSun"/>
        </w:rPr>
        <w:t>mL</w:t>
      </w:r>
      <w:r>
        <w:rPr>
          <w:rFonts w:ascii="SimSun" w:hAnsi="SimSun" w:eastAsia="SimSun" w:cs="SimSun"/>
          <w:spacing w:val="9"/>
        </w:rPr>
        <w:t>)” </w:t>
      </w:r>
      <w:r>
        <w:rPr>
          <w:spacing w:val="9"/>
        </w:rPr>
        <w:t>为单</w:t>
      </w:r>
      <w:r>
        <w:rPr/>
        <w:t xml:space="preserve"> </w:t>
      </w:r>
      <w:r>
        <w:rPr>
          <w:spacing w:val="12"/>
        </w:rPr>
        <w:t>位。计算一下你一次会吃掉多少，才能准确</w:t>
      </w:r>
      <w:r>
        <w:rPr>
          <w:spacing w:val="11"/>
        </w:rPr>
        <w:t>评估热量摄入。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560"/>
        <w:spacing w:before="85" w:line="221" w:lineRule="auto"/>
        <w:rPr/>
      </w:pPr>
      <w:r>
        <w:rPr>
          <w:rFonts w:ascii="SimSun" w:hAnsi="SimSun" w:eastAsia="SimSun" w:cs="SimSun"/>
          <w:b/>
          <w:bCs/>
          <w:spacing w:val="7"/>
        </w:rPr>
        <w:t>2.</w:t>
      </w:r>
      <w:r>
        <w:rPr>
          <w:b/>
          <w:bCs/>
          <w:spacing w:val="7"/>
        </w:rPr>
        <w:t>蛋白质：身体的“建筑师”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right="2" w:firstLine="556"/>
        <w:spacing w:before="86" w:line="324" w:lineRule="auto"/>
        <w:rPr/>
      </w:pPr>
      <w:r>
        <w:rPr>
          <w:spacing w:val="7"/>
        </w:rPr>
        <w:t>正如小琪所追求的“高蛋白”,蛋白质是维持身体机能的重要物质。根据《</w:t>
      </w:r>
      <w:r>
        <w:rPr>
          <w:rFonts w:ascii="Arial" w:hAnsi="Arial" w:eastAsia="Arial" w:cs="Arial"/>
        </w:rPr>
        <w:t>GB</w:t>
      </w:r>
      <w:r>
        <w:rPr>
          <w:rFonts w:ascii="Arial" w:hAnsi="Arial" w:eastAsia="Arial" w:cs="Arial"/>
          <w:spacing w:val="7"/>
        </w:rPr>
        <w:t>28050-2011 </w:t>
      </w:r>
      <w:r>
        <w:rPr>
          <w:spacing w:val="7"/>
        </w:rPr>
        <w:t>食品安全国家标准预包装食品营养</w:t>
      </w:r>
      <w:r>
        <w:rPr>
          <w:spacing w:val="14"/>
        </w:rPr>
        <w:t xml:space="preserve"> </w:t>
      </w:r>
      <w:r>
        <w:rPr>
          <w:spacing w:val="-5"/>
        </w:rPr>
        <w:t>标签通则》,声称“高蛋白”或“富含蛋白质”的食品，其蛋白质含量需满足：</w:t>
      </w:r>
    </w:p>
    <w:p>
      <w:pPr>
        <w:spacing w:line="475" w:lineRule="auto"/>
        <w:rPr>
          <w:rFonts w:ascii="Arial"/>
          <w:sz w:val="21"/>
        </w:rPr>
      </w:pPr>
      <w:r/>
    </w:p>
    <w:p>
      <w:pPr>
        <w:pStyle w:val="BodyText"/>
        <w:ind w:left="556"/>
        <w:spacing w:before="85" w:line="222" w:lineRule="auto"/>
        <w:rPr/>
      </w:pPr>
      <w:r>
        <w:rPr>
          <w:spacing w:val="-4"/>
        </w:rPr>
        <w:t>·</w:t>
      </w:r>
      <w:r>
        <w:rPr>
          <w:spacing w:val="-90"/>
        </w:rPr>
        <w:t xml:space="preserve"> </w:t>
      </w:r>
      <w:r>
        <w:rPr>
          <w:spacing w:val="-4"/>
        </w:rPr>
        <w:t>固体食品：≥12克/100克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556"/>
        <w:spacing w:before="85" w:line="222" w:lineRule="auto"/>
        <w:rPr/>
      </w:pPr>
      <w:r>
        <w:rPr>
          <w:spacing w:val="-2"/>
        </w:rPr>
        <w:t>·液体食品：≥6克/100毫升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556"/>
        <w:spacing w:before="85" w:line="221" w:lineRule="auto"/>
        <w:rPr/>
      </w:pPr>
      <w:r>
        <w:rPr>
          <w:spacing w:val="12"/>
        </w:rPr>
        <w:t>推荐的高蛋白零食：原味坚果、无糖酸奶、鹰嘴</w:t>
      </w:r>
      <w:r>
        <w:rPr>
          <w:spacing w:val="11"/>
        </w:rPr>
        <w:t>豆、牛肉干、鸡胸肉肠。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560"/>
        <w:spacing w:before="85" w:line="221" w:lineRule="auto"/>
        <w:outlineLvl w:val="1"/>
        <w:rPr/>
      </w:pPr>
      <w:r>
        <w:rPr>
          <w:rFonts w:ascii="SimSun" w:hAnsi="SimSun" w:eastAsia="SimSun" w:cs="SimSun"/>
          <w:b/>
          <w:bCs/>
          <w:spacing w:val="-9"/>
        </w:rPr>
        <w:t>3.</w:t>
      </w:r>
      <w:r>
        <w:rPr>
          <w:b/>
          <w:bCs/>
          <w:spacing w:val="-9"/>
        </w:rPr>
        <w:t>脂肪：学会辨别“好”与“坏”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556"/>
        <w:spacing w:before="85" w:line="221" w:lineRule="auto"/>
        <w:rPr/>
      </w:pPr>
      <w:r>
        <w:rPr>
          <w:spacing w:val="-21"/>
        </w:rPr>
        <w:t>追求“低脂”或“零脂”是健康趋势。国标规定：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560"/>
        <w:spacing w:before="85" w:line="213" w:lineRule="auto"/>
        <w:rPr/>
      </w:pPr>
      <w:r>
        <w:rPr>
          <w:b/>
          <w:bCs/>
          <w:spacing w:val="-5"/>
        </w:rPr>
        <w:t>·</w:t>
      </w:r>
      <w:r>
        <w:rPr>
          <w:spacing w:val="-85"/>
        </w:rPr>
        <w:t xml:space="preserve"> </w:t>
      </w:r>
      <w:r>
        <w:rPr>
          <w:b/>
          <w:bCs/>
          <w:spacing w:val="-5"/>
        </w:rPr>
        <w:t>低脂肪：</w:t>
      </w:r>
      <w:r>
        <w:rPr>
          <w:spacing w:val="-5"/>
        </w:rPr>
        <w:t>固体≤3克/100克；液体≤1.5克/100毫升。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560"/>
        <w:spacing w:before="88" w:line="227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12"/>
        </w:rPr>
        <w:t>·</w:t>
      </w:r>
      <w:r>
        <w:rPr>
          <w:sz w:val="27"/>
          <w:szCs w:val="27"/>
          <w:spacing w:val="-80"/>
        </w:rPr>
        <w:t xml:space="preserve"> </w:t>
      </w:r>
      <w:r>
        <w:rPr>
          <w:sz w:val="27"/>
          <w:szCs w:val="27"/>
          <w:b/>
          <w:bCs/>
          <w:spacing w:val="12"/>
        </w:rPr>
        <w:t>零脂肪(无脂肪)</w:t>
      </w:r>
      <w:r>
        <w:rPr>
          <w:sz w:val="27"/>
          <w:szCs w:val="27"/>
          <w:spacing w:val="-64"/>
        </w:rPr>
        <w:t xml:space="preserve"> </w:t>
      </w:r>
      <w:r>
        <w:rPr>
          <w:sz w:val="27"/>
          <w:szCs w:val="27"/>
          <w:spacing w:val="12"/>
        </w:rPr>
        <w:t>:≤0.5克/100克(或100毫升)。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556"/>
        <w:spacing w:before="85" w:line="213" w:lineRule="auto"/>
        <w:rPr/>
      </w:pPr>
      <w:r>
        <w:rPr>
          <w:spacing w:val="-17"/>
        </w:rPr>
        <w:t>同时，要警惕“反式脂肪酸”。如果配料表中出现“氢化植物油”“人造黄油”“起酥油”等字眼，请尽量避开。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560"/>
        <w:spacing w:before="85" w:line="223" w:lineRule="auto"/>
        <w:outlineLvl w:val="1"/>
        <w:rPr/>
      </w:pPr>
      <w:r>
        <w:rPr>
          <w:b/>
          <w:bCs/>
          <w:spacing w:val="7"/>
        </w:rPr>
        <w:t>4.钠：健康的“隐形杀手”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181" w:firstLine="374"/>
        <w:spacing w:before="85" w:line="328" w:lineRule="auto"/>
        <w:rPr/>
      </w:pPr>
      <w:r>
        <w:rPr>
          <w:spacing w:val="22"/>
        </w:rPr>
        <w:t>过量摄入钠会增加高血压和心血管疾病的风险。《中国居民膳食指南(2022)》建议，成年人每日食盐摄入量不超过5克</w:t>
      </w:r>
      <w:r>
        <w:rPr>
          <w:spacing w:val="16"/>
        </w:rPr>
        <w:t xml:space="preserve"> </w:t>
      </w:r>
      <w:r>
        <w:rPr>
          <w:spacing w:val="16"/>
        </w:rPr>
        <w:t>(约等于2000毫克钠)。在选择零食时，可以遵循以下标准：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560"/>
        <w:spacing w:before="85" w:line="222" w:lineRule="auto"/>
        <w:rPr/>
      </w:pPr>
      <w:r>
        <w:rPr>
          <w:b/>
          <w:bCs/>
          <w:spacing w:val="11"/>
        </w:rPr>
        <w:t>·</w:t>
      </w:r>
      <w:r>
        <w:rPr>
          <w:spacing w:val="-79"/>
        </w:rPr>
        <w:t xml:space="preserve"> </w:t>
      </w:r>
      <w:r>
        <w:rPr>
          <w:b/>
          <w:bCs/>
          <w:spacing w:val="11"/>
        </w:rPr>
        <w:t>低钠：</w:t>
      </w:r>
      <w:r>
        <w:rPr>
          <w:spacing w:val="11"/>
        </w:rPr>
        <w:t>≤120毫克/100克(或100毫升)。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right="16" w:firstLine="560"/>
        <w:spacing w:before="84" w:line="286" w:lineRule="auto"/>
        <w:rPr/>
      </w:pPr>
      <w:r>
        <w:rPr>
          <w:b/>
          <w:bCs/>
          <w:spacing w:val="21"/>
        </w:rPr>
        <w:t>·</w:t>
      </w:r>
      <w:r>
        <w:rPr>
          <w:spacing w:val="-82"/>
        </w:rPr>
        <w:t xml:space="preserve"> </w:t>
      </w:r>
      <w:r>
        <w:rPr>
          <w:b/>
          <w:bCs/>
          <w:spacing w:val="21"/>
        </w:rPr>
        <w:t>高钠预警：</w:t>
      </w:r>
      <w:r>
        <w:rPr>
          <w:spacing w:val="21"/>
        </w:rPr>
        <w:t>关注营养素参考值百分比</w:t>
      </w:r>
      <w:r>
        <w:rPr>
          <w:rFonts w:ascii="SimSun" w:hAnsi="SimSun" w:eastAsia="SimSun" w:cs="SimSun"/>
          <w:spacing w:val="21"/>
        </w:rPr>
        <w:t>(</w:t>
      </w:r>
      <w:r>
        <w:rPr>
          <w:rFonts w:ascii="SimSun" w:hAnsi="SimSun" w:eastAsia="SimSun" w:cs="SimSun"/>
        </w:rPr>
        <w:t>NRV</w:t>
      </w:r>
      <w:r>
        <w:rPr>
          <w:rFonts w:ascii="SimSun" w:hAnsi="SimSun" w:eastAsia="SimSun" w:cs="SimSun"/>
          <w:spacing w:val="21"/>
        </w:rPr>
        <w:t>%)。   </w:t>
      </w:r>
      <w:r>
        <w:rPr>
          <w:spacing w:val="21"/>
        </w:rPr>
        <w:t>如果一份零食的钠</w:t>
      </w:r>
      <w:r>
        <w:rPr>
          <w:rFonts w:ascii="SimSun" w:hAnsi="SimSun" w:eastAsia="SimSun" w:cs="SimSun"/>
        </w:rPr>
        <w:t>NRV</w:t>
      </w:r>
      <w:r>
        <w:rPr>
          <w:rFonts w:ascii="SimSun" w:hAnsi="SimSun" w:eastAsia="SimSun" w:cs="SimSun"/>
          <w:spacing w:val="21"/>
        </w:rPr>
        <w:t>%  </w:t>
      </w:r>
      <w:r>
        <w:rPr>
          <w:spacing w:val="21"/>
        </w:rPr>
        <w:t>超过30%,</w:t>
      </w:r>
      <w:r>
        <w:rPr>
          <w:spacing w:val="20"/>
        </w:rPr>
        <w:t>就要高度警惕，它可能占据了你</w:t>
      </w:r>
      <w:r>
        <w:rPr/>
        <w:t xml:space="preserve"> </w:t>
      </w:r>
      <w:r>
        <w:rPr>
          <w:spacing w:val="11"/>
        </w:rPr>
        <w:t>一天钠摄入量的一大部分。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560"/>
        <w:spacing w:before="85" w:line="222" w:lineRule="auto"/>
        <w:rPr/>
      </w:pPr>
      <w:r>
        <w:rPr>
          <w:b/>
          <w:bCs/>
          <w:spacing w:val="5"/>
        </w:rPr>
        <w:t>5.糖：甜蜜的“陷阱”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right="5" w:firstLine="556"/>
        <w:spacing w:before="85" w:line="348" w:lineRule="auto"/>
        <w:rPr/>
      </w:pPr>
      <w:r>
        <w:rPr>
          <w:spacing w:val="17"/>
        </w:rPr>
        <w:t>膳食指南建议，</w:t>
      </w:r>
      <w:r>
        <w:rPr>
          <w:b/>
          <w:bCs/>
          <w:spacing w:val="17"/>
        </w:rPr>
        <w:t>每日添加糖摄入量不应超过50克，最好</w:t>
      </w:r>
      <w:r>
        <w:rPr>
          <w:b/>
          <w:bCs/>
          <w:spacing w:val="16"/>
        </w:rPr>
        <w:t>控制在25克以下。</w:t>
      </w:r>
      <w:r>
        <w:rPr>
          <w:spacing w:val="-18"/>
        </w:rPr>
        <w:t xml:space="preserve"> </w:t>
      </w:r>
      <w:r>
        <w:rPr>
          <w:spacing w:val="16"/>
        </w:rPr>
        <w:t>选择零食时，尽量选择天然甜味(如水果干)或</w:t>
      </w:r>
      <w:r>
        <w:rPr/>
        <w:t xml:space="preserve"> </w:t>
      </w:r>
      <w:r>
        <w:rPr>
          <w:spacing w:val="1"/>
        </w:rPr>
        <w:t>明确标示“无添加蔗糖”的产品，并仔细检查配料表，避开靠前位置的各种糖浆。</w:t>
      </w:r>
    </w:p>
    <w:sectPr>
      <w:pgSz w:w="16717" w:h="31680"/>
      <w:pgMar w:top="345" w:right="781" w:bottom="0" w:left="762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2025-08-15T09:29:39Z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2025-08-15T09:29:39</vt:filetime>
  </property>
  <property fmtid="{D5CDD505-2E9C-101B-9397-08002B2CF9AE}" pid="4" name="UsrData">
    <vt:lpwstr>689e8d7e39e360001f690e08wl</vt:lpwstr>
  </property>
</Properties>
</file>