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9" w:firstLine="163"/>
        <w:spacing w:before="120" w:line="401" w:lineRule="auto"/>
        <w:rPr>
          <w:sz w:val="6"/>
          <w:szCs w:val="6"/>
        </w:rPr>
      </w:pPr>
      <w:r>
        <w:rPr>
          <w:spacing w:val="3"/>
        </w:rPr>
        <w:t>提到豆类，很多人会想到黄豆、黑豆、绿豆这些传统豆类，还有鹰嘴豆这种网红豆类。但今天</w:t>
      </w:r>
      <w:r>
        <w:rPr>
          <w:spacing w:val="2"/>
        </w:rPr>
        <w:t>要介绍的白芸豆，却常常被</w:t>
      </w:r>
      <w:r>
        <w:rPr/>
        <w:t xml:space="preserve"> </w:t>
      </w:r>
      <w:r>
        <w:rPr>
          <w:sz w:val="6"/>
          <w:szCs w:val="6"/>
          <w:spacing w:val="3"/>
        </w:rPr>
        <w:t>人</w:t>
      </w:r>
      <w:r>
        <w:rPr>
          <w:sz w:val="6"/>
          <w:szCs w:val="6"/>
          <w:spacing w:val="-5"/>
        </w:rPr>
        <w:t xml:space="preserve"> </w:t>
      </w:r>
      <w:r>
        <w:rPr>
          <w:sz w:val="6"/>
          <w:szCs w:val="6"/>
          <w:spacing w:val="3"/>
        </w:rPr>
        <w:t>忽</w:t>
      </w:r>
      <w:r>
        <w:rPr>
          <w:sz w:val="6"/>
          <w:szCs w:val="6"/>
          <w:spacing w:val="-7"/>
        </w:rPr>
        <w:t xml:space="preserve"> </w:t>
      </w:r>
      <w:r>
        <w:rPr>
          <w:sz w:val="6"/>
          <w:szCs w:val="6"/>
          <w:spacing w:val="3"/>
        </w:rPr>
        <w:t>视</w:t>
      </w:r>
      <w:r>
        <w:rPr>
          <w:sz w:val="6"/>
          <w:szCs w:val="6"/>
          <w:spacing w:val="-8"/>
        </w:rPr>
        <w:t xml:space="preserve"> </w:t>
      </w:r>
      <w:r>
        <w:rPr>
          <w:sz w:val="6"/>
          <w:szCs w:val="6"/>
          <w:spacing w:val="3"/>
        </w:rPr>
        <w:t>。</w:t>
      </w:r>
    </w:p>
    <w:p>
      <w:pPr>
        <w:pStyle w:val="BodyText"/>
        <w:ind w:right="70" w:firstLine="163"/>
        <w:spacing w:before="125" w:line="327" w:lineRule="auto"/>
        <w:rPr/>
      </w:pPr>
      <w:r>
        <w:rPr>
          <w:spacing w:val="1"/>
        </w:rPr>
        <w:t>白芸豆的外表朴实无华，不仅营养丰富，还有着令人惊喜的健康益处。尤其是这几年</w:t>
      </w:r>
      <w:r>
        <w:rPr/>
        <w:t>被反复提到的“阻断淀粉”能力，让它</w:t>
      </w:r>
      <w:r>
        <w:rPr/>
        <w:t xml:space="preserve"> </w:t>
      </w:r>
      <w:r>
        <w:rPr>
          <w:spacing w:val="1"/>
        </w:rPr>
        <w:t>成为了健康饮食和体重管理的新宠。那么吃白芸豆真的能减肥吗?今天就让我们一起来好好了解下“白芸豆”吧!</w:t>
      </w:r>
    </w:p>
    <w:p>
      <w:pPr>
        <w:ind w:firstLine="464"/>
        <w:spacing w:before="91" w:line="2067" w:lineRule="exact"/>
        <w:rPr/>
      </w:pPr>
      <w:r>
        <w:rPr>
          <w:position w:val="-41"/>
        </w:rPr>
        <w:drawing>
          <wp:inline distT="0" distB="0" distL="0" distR="0">
            <wp:extent cx="2326815" cy="131262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6815" cy="13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4"/>
        <w:spacing w:before="183" w:line="223" w:lineRule="auto"/>
        <w:rPr>
          <w:rFonts w:ascii="SimSun" w:hAnsi="SimSun" w:eastAsia="SimSun" w:cs="SimSun"/>
        </w:rPr>
      </w:pPr>
      <w:r>
        <w:rPr>
          <w:b/>
          <w:bCs/>
          <w:spacing w:val="1"/>
        </w:rPr>
        <w:t>高蛋白、高膳食纤维、低</w:t>
      </w:r>
      <w:r>
        <w:rPr>
          <w:rFonts w:ascii="SimSun" w:hAnsi="SimSun" w:eastAsia="SimSun" w:cs="SimSun"/>
          <w:b/>
          <w:bCs/>
        </w:rPr>
        <w:t>GI</w:t>
      </w:r>
    </w:p>
    <w:p>
      <w:pPr>
        <w:pStyle w:val="BodyText"/>
        <w:ind w:right="40" w:firstLine="163"/>
        <w:spacing w:before="193" w:line="319" w:lineRule="auto"/>
        <w:rPr/>
      </w:pPr>
      <w:r>
        <w:rPr>
          <w:spacing w:val="3"/>
        </w:rPr>
        <w:t>这几年鹰嘴豆在国人餐桌上大出风头，减肥、精致的餐食上总会出现它的身影。实际上，白芸</w:t>
      </w:r>
      <w:r>
        <w:rPr>
          <w:spacing w:val="2"/>
        </w:rPr>
        <w:t>豆作为传统杂豆类，营养和</w:t>
      </w:r>
      <w:r>
        <w:rPr/>
        <w:t xml:space="preserve"> </w:t>
      </w:r>
      <w:r>
        <w:rPr>
          <w:spacing w:val="2"/>
        </w:rPr>
        <w:t>鹰嘴豆不相上下，不信看看它们营养对比。</w:t>
      </w:r>
    </w:p>
    <w:p>
      <w:pPr>
        <w:spacing w:line="107" w:lineRule="exact"/>
        <w:rPr/>
      </w:pPr>
      <w:r/>
    </w:p>
    <w:tbl>
      <w:tblPr>
        <w:tblStyle w:val="TableNormal"/>
        <w:tblW w:w="3664" w:type="dxa"/>
        <w:tblInd w:w="46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19"/>
        <w:gridCol w:w="1227"/>
        <w:gridCol w:w="1218"/>
      </w:tblGrid>
      <w:tr>
        <w:trPr>
          <w:trHeight w:val="223" w:hRule="atLeast"/>
        </w:trPr>
        <w:tc>
          <w:tcPr>
            <w:tcW w:w="1219" w:type="dxa"/>
            <w:vAlign w:val="top"/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tcW w:w="1227" w:type="dxa"/>
            <w:vAlign w:val="top"/>
          </w:tcPr>
          <w:p>
            <w:pPr>
              <w:pStyle w:val="TableText"/>
              <w:ind w:left="467"/>
              <w:spacing w:before="67" w:line="23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白芸豆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65"/>
              <w:spacing w:before="64" w:line="23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b/>
                <w:bCs/>
                <w:spacing w:val="4"/>
              </w:rPr>
              <w:t>鹰嘴豆</w:t>
            </w:r>
          </w:p>
        </w:tc>
      </w:tr>
      <w:tr>
        <w:trPr>
          <w:trHeight w:val="223" w:hRule="atLeast"/>
        </w:trPr>
        <w:tc>
          <w:tcPr>
            <w:tcW w:w="1219" w:type="dxa"/>
            <w:vAlign w:val="top"/>
          </w:tcPr>
          <w:p>
            <w:pPr>
              <w:pStyle w:val="TableText"/>
              <w:ind w:left="38"/>
              <w:spacing w:before="62" w:line="22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5"/>
              </w:rPr>
              <w:t>能量</w:t>
            </w:r>
            <w:r>
              <w:rPr>
                <w:sz w:val="9"/>
                <w:szCs w:val="9"/>
                <w:spacing w:val="3"/>
              </w:rPr>
              <w:t xml:space="preserve">        </w:t>
            </w:r>
            <w:r>
              <w:rPr>
                <w:sz w:val="9"/>
                <w:szCs w:val="9"/>
              </w:rPr>
              <w:t>kcal</w:t>
            </w:r>
            <w:r>
              <w:rPr>
                <w:sz w:val="9"/>
                <w:szCs w:val="9"/>
                <w:spacing w:val="5"/>
              </w:rPr>
              <w:t>/100g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539"/>
              <w:spacing w:before="74" w:line="122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position w:val="1"/>
              </w:rPr>
              <w:t>315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35"/>
              <w:spacing w:before="74" w:line="122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position w:val="1"/>
              </w:rPr>
              <w:t>340</w:t>
            </w:r>
          </w:p>
        </w:tc>
      </w:tr>
      <w:tr>
        <w:trPr>
          <w:trHeight w:val="222" w:hRule="atLeast"/>
        </w:trPr>
        <w:tc>
          <w:tcPr>
            <w:tcW w:w="1219" w:type="dxa"/>
            <w:vAlign w:val="top"/>
          </w:tcPr>
          <w:p>
            <w:pPr>
              <w:pStyle w:val="TableText"/>
              <w:ind w:left="38"/>
              <w:spacing w:before="68" w:line="23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4"/>
              </w:rPr>
              <w:t>蛋白质</w:t>
            </w:r>
            <w:r>
              <w:rPr>
                <w:sz w:val="9"/>
                <w:szCs w:val="9"/>
                <w:spacing w:val="2"/>
              </w:rPr>
              <w:t xml:space="preserve">      </w:t>
            </w:r>
            <w:r>
              <w:rPr>
                <w:sz w:val="9"/>
                <w:szCs w:val="9"/>
                <w:spacing w:val="4"/>
              </w:rPr>
              <w:t>g/100g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515"/>
              <w:spacing w:before="76" w:line="121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  <w:position w:val="1"/>
              </w:rPr>
              <w:t>23.4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11"/>
              <w:spacing w:before="76" w:line="121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  <w:position w:val="1"/>
              </w:rPr>
              <w:t>21.2</w:t>
            </w:r>
          </w:p>
        </w:tc>
      </w:tr>
      <w:tr>
        <w:trPr>
          <w:trHeight w:val="227" w:hRule="atLeast"/>
        </w:trPr>
        <w:tc>
          <w:tcPr>
            <w:tcW w:w="1219" w:type="dxa"/>
            <w:vAlign w:val="top"/>
          </w:tcPr>
          <w:p>
            <w:pPr>
              <w:pStyle w:val="TableText"/>
              <w:ind w:left="38"/>
              <w:spacing w:before="67"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3"/>
                <w:position w:val="1"/>
              </w:rPr>
              <w:t>脂肪</w:t>
            </w:r>
            <w:r>
              <w:rPr>
                <w:sz w:val="9"/>
                <w:szCs w:val="9"/>
                <w:spacing w:val="4"/>
                <w:position w:val="1"/>
              </w:rPr>
              <w:t xml:space="preserve">        </w:t>
            </w:r>
            <w:r>
              <w:rPr>
                <w:sz w:val="9"/>
                <w:szCs w:val="9"/>
                <w:spacing w:val="3"/>
                <w:position w:val="1"/>
              </w:rPr>
              <w:t>g/100g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539"/>
              <w:spacing w:before="78" w:line="122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  <w:position w:val="1"/>
              </w:rPr>
              <w:t>1.4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35"/>
              <w:spacing w:before="78" w:line="122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  <w:position w:val="1"/>
              </w:rPr>
              <w:t>4.2</w:t>
            </w:r>
          </w:p>
        </w:tc>
      </w:tr>
      <w:tr>
        <w:trPr>
          <w:trHeight w:val="227" w:hRule="atLeast"/>
        </w:trPr>
        <w:tc>
          <w:tcPr>
            <w:tcW w:w="1219" w:type="dxa"/>
            <w:vAlign w:val="top"/>
          </w:tcPr>
          <w:p>
            <w:pPr>
              <w:pStyle w:val="TableText"/>
              <w:ind w:left="38"/>
              <w:spacing w:before="66" w:line="22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4"/>
              </w:rPr>
              <w:t>碳水化合物g/100g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515"/>
              <w:spacing w:before="79" w:line="122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  <w:position w:val="1"/>
              </w:rPr>
              <w:t>57.2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11"/>
              <w:spacing w:before="79" w:line="122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  <w:position w:val="1"/>
              </w:rPr>
              <w:t>60.1</w:t>
            </w:r>
          </w:p>
        </w:tc>
      </w:tr>
      <w:tr>
        <w:trPr>
          <w:trHeight w:val="229" w:hRule="atLeast"/>
        </w:trPr>
        <w:tc>
          <w:tcPr>
            <w:tcW w:w="1219" w:type="dxa"/>
            <w:vAlign w:val="top"/>
          </w:tcPr>
          <w:p>
            <w:pPr>
              <w:pStyle w:val="TableText"/>
              <w:ind w:left="38"/>
              <w:spacing w:before="69" w:line="22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3"/>
              </w:rPr>
              <w:t>膳食纤维</w:t>
            </w:r>
            <w:r>
              <w:rPr>
                <w:sz w:val="9"/>
                <w:szCs w:val="9"/>
                <w:spacing w:val="5"/>
              </w:rPr>
              <w:t xml:space="preserve">   </w:t>
            </w:r>
            <w:r>
              <w:rPr>
                <w:sz w:val="9"/>
                <w:szCs w:val="9"/>
                <w:spacing w:val="3"/>
              </w:rPr>
              <w:t>g/100g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539"/>
              <w:spacing w:before="82" w:line="121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  <w:position w:val="1"/>
              </w:rPr>
              <w:t>9.8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11"/>
              <w:spacing w:before="82" w:line="121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  <w:position w:val="1"/>
              </w:rPr>
              <w:t>11.6</w:t>
            </w:r>
          </w:p>
        </w:tc>
      </w:tr>
      <w:tr>
        <w:trPr>
          <w:trHeight w:val="223" w:hRule="atLeast"/>
        </w:trPr>
        <w:tc>
          <w:tcPr>
            <w:tcW w:w="1219" w:type="dxa"/>
            <w:vAlign w:val="top"/>
          </w:tcPr>
          <w:p>
            <w:pPr>
              <w:pStyle w:val="TableText"/>
              <w:ind w:left="38"/>
              <w:spacing w:before="78" w:line="12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"/>
              </w:rPr>
              <w:t>Gl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563"/>
              <w:spacing w:before="78" w:line="12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position w:val="1"/>
              </w:rPr>
              <w:t>24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59"/>
              <w:spacing w:before="78" w:line="12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  <w:position w:val="1"/>
              </w:rPr>
              <w:t>33</w:t>
            </w:r>
          </w:p>
        </w:tc>
      </w:tr>
    </w:tbl>
    <w:p>
      <w:pPr>
        <w:pStyle w:val="BodyText"/>
        <w:ind w:left="2000"/>
        <w:spacing w:before="183" w:line="223" w:lineRule="auto"/>
        <w:rPr/>
      </w:pPr>
      <w:r>
        <w:rPr>
          <w:spacing w:val="1"/>
        </w:rPr>
        <w:t>数据来自参考文献[1]</w:t>
      </w:r>
    </w:p>
    <w:p>
      <w:pPr>
        <w:pStyle w:val="BodyText"/>
        <w:ind w:left="164"/>
        <w:spacing w:before="180" w:line="226" w:lineRule="auto"/>
        <w:outlineLvl w:val="0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-4"/>
        </w:rPr>
        <w:t>1.</w:t>
      </w:r>
      <w:r>
        <w:rPr>
          <w:sz w:val="9"/>
          <w:szCs w:val="9"/>
          <w:b/>
          <w:bCs/>
          <w:spacing w:val="-4"/>
        </w:rPr>
        <w:t>蛋白质</w:t>
      </w:r>
    </w:p>
    <w:p>
      <w:pPr>
        <w:pStyle w:val="BodyText"/>
        <w:ind w:left="164"/>
        <w:spacing w:before="182" w:line="215" w:lineRule="auto"/>
        <w:rPr/>
      </w:pPr>
      <w:r>
        <w:rPr>
          <w:b/>
          <w:bCs/>
          <w:spacing w:val="4"/>
        </w:rPr>
        <w:t>白芸豆的蛋白质含量相当可观。根据《中国食物成</w:t>
      </w:r>
      <w:r>
        <w:rPr>
          <w:b/>
          <w:bCs/>
          <w:spacing w:val="3"/>
        </w:rPr>
        <w:t>分表》数据，每100克干白芸豆含有约23.1克蛋白质，比鹰嘴豆还要</w:t>
      </w:r>
    </w:p>
    <w:p>
      <w:pPr>
        <w:pStyle w:val="BodyText"/>
        <w:spacing w:before="56" w:line="223" w:lineRule="auto"/>
        <w:rPr/>
      </w:pPr>
      <w:r>
        <w:rPr>
          <w:spacing w:val="8"/>
        </w:rPr>
        <w:t>高一些(21.2克/100克),是大米(7</w:t>
      </w:r>
      <w:r>
        <w:rPr>
          <w:spacing w:val="7"/>
        </w:rPr>
        <w:t>.9克/100克)的3倍多。</w:t>
      </w:r>
    </w:p>
    <w:p>
      <w:pPr>
        <w:pStyle w:val="BodyText"/>
        <w:ind w:right="43" w:firstLine="163"/>
        <w:spacing w:before="185" w:line="330" w:lineRule="auto"/>
        <w:rPr/>
      </w:pPr>
      <w:r>
        <w:rPr>
          <w:spacing w:val="3"/>
        </w:rPr>
        <w:t>更重要的是，白芸豆蛋白质中含有人体必需的多种氨基酸，尤其是赖氨酸含量丰富，这</w:t>
      </w:r>
      <w:r>
        <w:rPr>
          <w:spacing w:val="2"/>
        </w:rPr>
        <w:t>正是谷类食物中常常缺乏的。所以</w:t>
      </w:r>
      <w:r>
        <w:rPr/>
        <w:t xml:space="preserve"> </w:t>
      </w:r>
      <w:r>
        <w:rPr>
          <w:spacing w:val="5"/>
        </w:rPr>
        <w:t>白芸豆的氨基酸评分(蛋白质质量评价指标)在植</w:t>
      </w:r>
      <w:r>
        <w:rPr>
          <w:spacing w:val="4"/>
        </w:rPr>
        <w:t>物性食物里比较高。</w:t>
      </w:r>
    </w:p>
    <w:p>
      <w:pPr>
        <w:spacing w:line="114" w:lineRule="exact"/>
        <w:rPr/>
      </w:pPr>
      <w:r/>
    </w:p>
    <w:tbl>
      <w:tblPr>
        <w:tblStyle w:val="TableNormal"/>
        <w:tblW w:w="3642" w:type="dxa"/>
        <w:tblInd w:w="4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25"/>
        <w:gridCol w:w="1817"/>
      </w:tblGrid>
      <w:tr>
        <w:trPr>
          <w:trHeight w:val="303" w:hRule="atLeast"/>
        </w:trPr>
        <w:tc>
          <w:tcPr>
            <w:tcW w:w="1825" w:type="dxa"/>
            <w:vAlign w:val="top"/>
          </w:tcPr>
          <w:p>
            <w:pPr>
              <w:pStyle w:val="TableText"/>
              <w:ind w:left="621"/>
              <w:spacing w:before="95" w:line="229" w:lineRule="auto"/>
              <w:rPr/>
            </w:pPr>
            <w:r>
              <w:rPr>
                <w:b/>
                <w:bCs/>
                <w:spacing w:val="6"/>
              </w:rPr>
              <w:t>食物蛋白质</w:t>
            </w:r>
          </w:p>
        </w:tc>
        <w:tc>
          <w:tcPr>
            <w:tcW w:w="1817" w:type="dxa"/>
            <w:vAlign w:val="top"/>
          </w:tcPr>
          <w:p>
            <w:pPr>
              <w:pStyle w:val="TableText"/>
              <w:ind w:left="619"/>
              <w:spacing w:before="95" w:line="229" w:lineRule="auto"/>
              <w:rPr/>
            </w:pPr>
            <w:r>
              <w:rPr>
                <w:b/>
                <w:bCs/>
                <w:spacing w:val="4"/>
              </w:rPr>
              <w:t>氨基酸评分</w:t>
            </w:r>
          </w:p>
        </w:tc>
      </w:tr>
      <w:tr>
        <w:trPr>
          <w:trHeight w:val="231" w:hRule="atLeast"/>
        </w:trPr>
        <w:tc>
          <w:tcPr>
            <w:tcW w:w="1825" w:type="dxa"/>
            <w:vAlign w:val="top"/>
          </w:tcPr>
          <w:p>
            <w:pPr>
              <w:pStyle w:val="TableText"/>
              <w:ind w:left="562"/>
              <w:spacing w:before="62" w:line="229" w:lineRule="auto"/>
              <w:rPr/>
            </w:pPr>
            <w:r>
              <w:rPr>
                <w:spacing w:val="8"/>
              </w:rPr>
              <w:t>大豆分离蛋白</w:t>
            </w:r>
          </w:p>
        </w:tc>
        <w:tc>
          <w:tcPr>
            <w:tcW w:w="1817" w:type="dxa"/>
            <w:vAlign w:val="top"/>
          </w:tcPr>
          <w:p>
            <w:pPr>
              <w:pStyle w:val="TableText"/>
              <w:ind w:left="791"/>
              <w:spacing w:before="73" w:line="147" w:lineRule="exact"/>
              <w:rPr/>
            </w:pPr>
            <w:r>
              <w:rPr>
                <w:spacing w:val="1"/>
                <w:position w:val="1"/>
              </w:rPr>
              <w:t>0.94</w:t>
            </w:r>
          </w:p>
        </w:tc>
      </w:tr>
      <w:tr>
        <w:trPr>
          <w:trHeight w:val="221" w:hRule="atLeast"/>
        </w:trPr>
        <w:tc>
          <w:tcPr>
            <w:shd w:val="clear" w:fill="CBDBFC"/>
            <w:tcW w:w="1825" w:type="dxa"/>
            <w:vAlign w:val="top"/>
          </w:tcPr>
          <w:p>
            <w:pPr>
              <w:pStyle w:val="TableText"/>
              <w:ind w:left="619"/>
              <w:spacing w:before="56" w:line="229" w:lineRule="auto"/>
              <w:rPr/>
            </w:pPr>
            <w:r>
              <w:rPr>
                <w:spacing w:val="8"/>
              </w:rPr>
              <w:t>菜豆(芸豆)</w:t>
            </w:r>
          </w:p>
        </w:tc>
        <w:tc>
          <w:tcPr>
            <w:shd w:val="clear" w:fill="CBDBFC"/>
            <w:tcW w:w="1817" w:type="dxa"/>
            <w:vAlign w:val="top"/>
          </w:tcPr>
          <w:p>
            <w:pPr>
              <w:pStyle w:val="TableText"/>
              <w:ind w:left="791"/>
              <w:spacing w:before="68"/>
              <w:rPr/>
            </w:pPr>
            <w:r>
              <w:rPr>
                <w:spacing w:val="1"/>
              </w:rPr>
              <w:t>0.82</w:t>
            </w:r>
          </w:p>
        </w:tc>
      </w:tr>
      <w:tr>
        <w:trPr>
          <w:trHeight w:val="224" w:hRule="atLeast"/>
        </w:trPr>
        <w:tc>
          <w:tcPr>
            <w:tcW w:w="1825" w:type="dxa"/>
            <w:vAlign w:val="top"/>
          </w:tcPr>
          <w:p>
            <w:pPr>
              <w:pStyle w:val="TableText"/>
              <w:ind w:left="734"/>
              <w:spacing w:before="59" w:line="228" w:lineRule="auto"/>
              <w:rPr/>
            </w:pPr>
            <w:r>
              <w:rPr>
                <w:spacing w:val="8"/>
              </w:rPr>
              <w:t>燕麦片</w:t>
            </w:r>
          </w:p>
        </w:tc>
        <w:tc>
          <w:tcPr>
            <w:tcW w:w="1817" w:type="dxa"/>
            <w:vAlign w:val="top"/>
          </w:tcPr>
          <w:p>
            <w:pPr>
              <w:pStyle w:val="TableText"/>
              <w:ind w:left="791"/>
              <w:spacing w:before="71" w:line="239" w:lineRule="auto"/>
              <w:rPr/>
            </w:pPr>
            <w:r>
              <w:rPr>
                <w:spacing w:val="1"/>
              </w:rPr>
              <w:t>0.57</w:t>
            </w:r>
          </w:p>
        </w:tc>
      </w:tr>
      <w:tr>
        <w:trPr>
          <w:trHeight w:val="229" w:hRule="atLeast"/>
        </w:trPr>
        <w:tc>
          <w:tcPr>
            <w:tcW w:w="1825" w:type="dxa"/>
            <w:vAlign w:val="top"/>
          </w:tcPr>
          <w:p>
            <w:pPr>
              <w:pStyle w:val="TableText"/>
              <w:ind w:left="734"/>
              <w:spacing w:before="61" w:line="229" w:lineRule="auto"/>
              <w:rPr/>
            </w:pPr>
            <w:r>
              <w:rPr>
                <w:spacing w:val="7"/>
              </w:rPr>
              <w:t>花生粉</w:t>
            </w:r>
          </w:p>
        </w:tc>
        <w:tc>
          <w:tcPr>
            <w:tcW w:w="1817" w:type="dxa"/>
            <w:vAlign w:val="top"/>
          </w:tcPr>
          <w:p>
            <w:pPr>
              <w:pStyle w:val="TableText"/>
              <w:ind w:left="791"/>
              <w:spacing w:before="73" w:line="145" w:lineRule="exact"/>
              <w:rPr/>
            </w:pPr>
            <w:r>
              <w:rPr>
                <w:spacing w:val="1"/>
                <w:position w:val="1"/>
              </w:rPr>
              <w:t>0.55</w:t>
            </w:r>
          </w:p>
        </w:tc>
      </w:tr>
      <w:tr>
        <w:trPr>
          <w:trHeight w:val="224" w:hRule="atLeast"/>
        </w:trPr>
        <w:tc>
          <w:tcPr>
            <w:tcW w:w="1825" w:type="dxa"/>
            <w:vAlign w:val="top"/>
          </w:tcPr>
          <w:p>
            <w:pPr>
              <w:pStyle w:val="TableText"/>
              <w:ind w:left="793"/>
              <w:spacing w:before="60" w:line="228" w:lineRule="auto"/>
              <w:rPr/>
            </w:pPr>
            <w:r>
              <w:rPr>
                <w:spacing w:val="8"/>
              </w:rPr>
              <w:t>全麦</w:t>
            </w:r>
          </w:p>
        </w:tc>
        <w:tc>
          <w:tcPr>
            <w:tcW w:w="1817" w:type="dxa"/>
            <w:vAlign w:val="top"/>
          </w:tcPr>
          <w:p>
            <w:pPr>
              <w:pStyle w:val="TableText"/>
              <w:ind w:left="791"/>
              <w:spacing w:before="72" w:line="238" w:lineRule="auto"/>
              <w:rPr/>
            </w:pPr>
            <w:r>
              <w:rPr>
                <w:spacing w:val="1"/>
              </w:rPr>
              <w:t>0.44</w:t>
            </w:r>
          </w:p>
        </w:tc>
      </w:tr>
      <w:tr>
        <w:trPr>
          <w:trHeight w:val="222" w:hRule="atLeast"/>
        </w:trPr>
        <w:tc>
          <w:tcPr>
            <w:tcW w:w="1825" w:type="dxa"/>
            <w:vAlign w:val="top"/>
          </w:tcPr>
          <w:p>
            <w:pPr>
              <w:pStyle w:val="TableText"/>
              <w:ind w:left="621"/>
              <w:spacing w:before="57" w:line="229" w:lineRule="auto"/>
              <w:rPr/>
            </w:pPr>
            <w:r>
              <w:rPr>
                <w:b/>
                <w:bCs/>
                <w:spacing w:val="6"/>
              </w:rPr>
              <w:t>葵花籽蛋白</w:t>
            </w:r>
          </w:p>
        </w:tc>
        <w:tc>
          <w:tcPr>
            <w:tcW w:w="1817" w:type="dxa"/>
            <w:vAlign w:val="top"/>
          </w:tcPr>
          <w:p>
            <w:pPr>
              <w:pStyle w:val="TableText"/>
              <w:ind w:left="791"/>
              <w:spacing w:before="70" w:line="237" w:lineRule="auto"/>
              <w:rPr/>
            </w:pPr>
            <w:r>
              <w:rPr>
                <w:spacing w:val="1"/>
              </w:rPr>
              <w:t>0.39</w:t>
            </w:r>
          </w:p>
        </w:tc>
      </w:tr>
      <w:tr>
        <w:trPr>
          <w:trHeight w:val="230" w:hRule="atLeast"/>
        </w:trPr>
        <w:tc>
          <w:tcPr>
            <w:tcW w:w="1825" w:type="dxa"/>
            <w:vAlign w:val="top"/>
          </w:tcPr>
          <w:p>
            <w:pPr>
              <w:pStyle w:val="TableText"/>
              <w:ind w:left="678"/>
              <w:spacing w:before="62" w:line="228" w:lineRule="auto"/>
              <w:rPr/>
            </w:pPr>
            <w:r>
              <w:rPr>
                <w:spacing w:val="6"/>
              </w:rPr>
              <w:t>小麦麦麸</w:t>
            </w:r>
          </w:p>
        </w:tc>
        <w:tc>
          <w:tcPr>
            <w:tcW w:w="1817" w:type="dxa"/>
            <w:vAlign w:val="top"/>
          </w:tcPr>
          <w:p>
            <w:pPr>
              <w:pStyle w:val="TableText"/>
              <w:ind w:left="791"/>
              <w:spacing w:before="74" w:line="146" w:lineRule="exact"/>
              <w:rPr/>
            </w:pPr>
            <w:r>
              <w:rPr>
                <w:spacing w:val="1"/>
                <w:position w:val="1"/>
              </w:rPr>
              <w:t>0.26</w:t>
            </w:r>
          </w:p>
        </w:tc>
      </w:tr>
    </w:tbl>
    <w:p>
      <w:pPr>
        <w:pStyle w:val="BodyText"/>
        <w:ind w:left="1959"/>
        <w:spacing w:before="197" w:line="223" w:lineRule="auto"/>
        <w:rPr/>
      </w:pPr>
      <w:r>
        <w:rPr>
          <w:b/>
          <w:bCs/>
        </w:rPr>
        <w:t>数据来自：参考文献[2</w:t>
      </w:r>
      <w:r>
        <w:rPr/>
        <w:t>]</w:t>
      </w:r>
    </w:p>
    <w:p>
      <w:pPr>
        <w:pStyle w:val="BodyText"/>
        <w:ind w:left="1" w:right="46" w:firstLine="162"/>
        <w:spacing w:before="179" w:line="316" w:lineRule="auto"/>
        <w:rPr/>
      </w:pPr>
      <w:r>
        <w:rPr>
          <w:spacing w:val="3"/>
        </w:rPr>
        <w:t>这种优质植物蛋白不含胆固醇，对于素食者或需要控制动物性食品摄入的人群来</w:t>
      </w:r>
      <w:r>
        <w:rPr>
          <w:spacing w:val="2"/>
        </w:rPr>
        <w:t>说，白芸豆是理想的蛋白质来源。对比其</w:t>
      </w:r>
      <w:r>
        <w:rPr/>
        <w:t xml:space="preserve"> </w:t>
      </w:r>
      <w:r>
        <w:rPr>
          <w:b/>
          <w:bCs/>
          <w:spacing w:val="-1"/>
        </w:rPr>
        <w:t>他常见食物，白芸豆的蛋白质含量比一些肉类还要高，可以说是“植物界的蛋白质冠军”之一</w:t>
      </w:r>
      <w:r>
        <w:rPr>
          <w:spacing w:val="-1"/>
        </w:rPr>
        <w:t>。</w:t>
      </w:r>
    </w:p>
    <w:p>
      <w:pPr>
        <w:pStyle w:val="BodyText"/>
        <w:ind w:left="164"/>
        <w:spacing w:before="149" w:line="225" w:lineRule="auto"/>
        <w:outlineLvl w:val="0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-5"/>
        </w:rPr>
        <w:t>2.</w:t>
      </w:r>
      <w:r>
        <w:rPr>
          <w:sz w:val="9"/>
          <w:szCs w:val="9"/>
          <w:b/>
          <w:bCs/>
          <w:spacing w:val="-5"/>
        </w:rPr>
        <w:t>膳食纤维</w:t>
      </w:r>
    </w:p>
    <w:p>
      <w:pPr>
        <w:pStyle w:val="BodyText"/>
        <w:ind w:right="22" w:firstLine="163"/>
        <w:spacing w:before="192" w:line="319" w:lineRule="auto"/>
        <w:rPr/>
      </w:pPr>
      <w:r>
        <w:rPr>
          <w:spacing w:val="4"/>
        </w:rPr>
        <w:t>白芸豆是膳食纤维的优质来源。每100克干白芸豆含有9.8克的不可溶性膳食纤维[1],远高于精制谷物。除此之外，还有</w:t>
      </w:r>
      <w:r>
        <w:rPr>
          <w:spacing w:val="17"/>
        </w:rPr>
        <w:t xml:space="preserve"> </w:t>
      </w:r>
      <w:r>
        <w:rPr>
          <w:spacing w:val="2"/>
        </w:rPr>
        <w:t>一部分可溶性的膳食纤维，对于健康同样有好处。这两类膳食纤维在人体内发挥着不同但同样重要的作用。</w:t>
      </w:r>
    </w:p>
    <w:p>
      <w:pPr>
        <w:pStyle w:val="BodyText"/>
        <w:ind w:right="41" w:firstLine="163"/>
        <w:spacing w:before="153" w:line="319" w:lineRule="auto"/>
        <w:rPr/>
      </w:pPr>
      <w:r>
        <w:rPr>
          <w:spacing w:val="3"/>
        </w:rPr>
        <w:t>可溶性膳食纤维能够吸水膨胀，增加饱腹感，延缓胃排空，同时还能结合胆固醇，有助于</w:t>
      </w:r>
      <w:r>
        <w:rPr>
          <w:spacing w:val="2"/>
        </w:rPr>
        <w:t>降低血液中的胆固醇水平。而不</w:t>
      </w:r>
      <w:r>
        <w:rPr/>
        <w:t xml:space="preserve"> </w:t>
      </w:r>
      <w:r>
        <w:rPr>
          <w:spacing w:val="2"/>
        </w:rPr>
        <w:t>可溶性膳食纤维则能促进肠道蠕动，有利于预防便秘，维护肠道健康。</w:t>
      </w:r>
    </w:p>
    <w:p>
      <w:pPr>
        <w:pStyle w:val="BodyText"/>
        <w:ind w:left="163"/>
        <w:spacing w:before="149" w:line="215" w:lineRule="auto"/>
        <w:rPr/>
      </w:pPr>
      <w:r>
        <w:rPr>
          <w:spacing w:val="2"/>
        </w:rPr>
        <w:t>对于现代人普遍存在的膳食纤维摄入不足问题，适量食用白芸豆无疑是一个简单有效的改善方法。</w:t>
      </w:r>
    </w:p>
    <w:p>
      <w:pPr>
        <w:pStyle w:val="BodyText"/>
        <w:ind w:left="163"/>
        <w:spacing w:before="178" w:line="225" w:lineRule="auto"/>
        <w:outlineLvl w:val="0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b/>
          <w:bCs/>
          <w:spacing w:val="4"/>
        </w:rPr>
        <w:t>3.</w:t>
      </w:r>
      <w:r>
        <w:rPr>
          <w:sz w:val="10"/>
          <w:szCs w:val="10"/>
          <w:b/>
          <w:bCs/>
          <w:spacing w:val="4"/>
        </w:rPr>
        <w:t>低</w:t>
      </w:r>
      <w:r>
        <w:rPr>
          <w:rFonts w:ascii="Arial" w:hAnsi="Arial" w:eastAsia="Arial" w:cs="Arial"/>
          <w:sz w:val="10"/>
          <w:szCs w:val="10"/>
          <w:b/>
          <w:bCs/>
        </w:rPr>
        <w:t>GI</w:t>
      </w:r>
    </w:p>
    <w:p>
      <w:pPr>
        <w:pStyle w:val="BodyText"/>
        <w:ind w:right="29" w:firstLine="163"/>
        <w:spacing w:before="189" w:line="327" w:lineRule="auto"/>
        <w:rPr/>
      </w:pPr>
      <w:r>
        <w:rPr>
          <w:spacing w:val="5"/>
        </w:rPr>
        <w:t>白芸豆的升糖指数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GI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值)很低，在淀粉类食物里绝对优秀，</w:t>
      </w:r>
      <w:r>
        <w:rPr>
          <w:spacing w:val="4"/>
        </w:rPr>
        <w:t>只有24,属于低</w:t>
      </w:r>
      <w:r>
        <w:rPr>
          <w:rFonts w:ascii="SimSun" w:hAnsi="SimSun" w:eastAsia="SimSun" w:cs="SimSun"/>
        </w:rPr>
        <w:t>Gl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4"/>
        </w:rPr>
        <w:t>食物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Gl</w:t>
      </w:r>
      <w:r>
        <w:rPr>
          <w:rFonts w:ascii="SimSun" w:hAnsi="SimSun" w:eastAsia="SimSun" w:cs="SimSun"/>
          <w:spacing w:val="4"/>
        </w:rPr>
        <w:t>&lt;55)。</w:t>
      </w:r>
      <w:r>
        <w:rPr>
          <w:rFonts w:ascii="SimSun" w:hAnsi="SimSun" w:eastAsia="SimSun" w:cs="SimSun"/>
        </w:rPr>
        <w:t xml:space="preserve">  </w:t>
      </w:r>
      <w:r>
        <w:rPr>
          <w:spacing w:val="4"/>
        </w:rPr>
        <w:t>这意味着食用白芸豆</w:t>
      </w:r>
      <w:r>
        <w:rPr/>
        <w:t xml:space="preserve"> </w:t>
      </w:r>
      <w:r>
        <w:rPr>
          <w:spacing w:val="2"/>
        </w:rPr>
        <w:t>后，血糖上升的速度和幅度都比较缓和，不会造成血糖的剧烈波动。</w:t>
      </w:r>
    </w:p>
    <w:p>
      <w:pPr>
        <w:spacing w:line="119" w:lineRule="exact"/>
        <w:rPr/>
      </w:pPr>
      <w:r/>
    </w:p>
    <w:tbl>
      <w:tblPr>
        <w:tblStyle w:val="TableNormal"/>
        <w:tblW w:w="3629" w:type="dxa"/>
        <w:tblInd w:w="48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14"/>
        <w:gridCol w:w="1815"/>
      </w:tblGrid>
      <w:tr>
        <w:trPr>
          <w:trHeight w:val="301" w:hRule="atLeast"/>
        </w:trPr>
        <w:tc>
          <w:tcPr>
            <w:tcW w:w="1814" w:type="dxa"/>
            <w:vAlign w:val="top"/>
          </w:tcPr>
          <w:p>
            <w:pPr>
              <w:pStyle w:val="TableText"/>
              <w:ind w:left="615"/>
              <w:spacing w:before="94" w:line="229" w:lineRule="auto"/>
              <w:rPr/>
            </w:pPr>
            <w:r>
              <w:rPr>
                <w:b/>
                <w:bCs/>
                <w:spacing w:val="4"/>
              </w:rPr>
              <w:t>淀粉类食物</w:t>
            </w:r>
          </w:p>
        </w:tc>
        <w:tc>
          <w:tcPr>
            <w:tcW w:w="1815" w:type="dxa"/>
            <w:vAlign w:val="top"/>
          </w:tcPr>
          <w:p>
            <w:pPr>
              <w:pStyle w:val="TableText"/>
              <w:ind w:left="850"/>
              <w:spacing w:before="125" w:line="189" w:lineRule="auto"/>
              <w:rPr/>
            </w:pPr>
            <w:r>
              <w:rPr>
                <w:b/>
                <w:bCs/>
              </w:rPr>
              <w:t>GI</w:t>
            </w:r>
          </w:p>
        </w:tc>
      </w:tr>
      <w:tr>
        <w:trPr>
          <w:trHeight w:val="231" w:hRule="atLeast"/>
        </w:trPr>
        <w:tc>
          <w:tcPr>
            <w:tcW w:w="1814" w:type="dxa"/>
            <w:vAlign w:val="top"/>
          </w:tcPr>
          <w:p>
            <w:pPr>
              <w:pStyle w:val="TableText"/>
              <w:ind w:left="672"/>
              <w:spacing w:before="61" w:line="228" w:lineRule="auto"/>
              <w:rPr/>
            </w:pPr>
            <w:r>
              <w:rPr>
                <w:spacing w:val="6"/>
              </w:rPr>
              <w:t>全麦面包</w:t>
            </w:r>
          </w:p>
        </w:tc>
        <w:tc>
          <w:tcPr>
            <w:tcW w:w="1815" w:type="dxa"/>
            <w:vAlign w:val="top"/>
          </w:tcPr>
          <w:p>
            <w:pPr>
              <w:pStyle w:val="TableText"/>
              <w:ind w:left="848"/>
              <w:spacing w:before="73" w:line="147" w:lineRule="exact"/>
              <w:rPr/>
            </w:pPr>
            <w:r>
              <w:rPr>
                <w:spacing w:val="-1"/>
                <w:position w:val="1"/>
              </w:rPr>
              <w:t>74</w:t>
            </w:r>
          </w:p>
        </w:tc>
      </w:tr>
      <w:tr>
        <w:trPr>
          <w:trHeight w:val="221" w:hRule="atLeast"/>
        </w:trPr>
        <w:tc>
          <w:tcPr>
            <w:tcW w:w="1814" w:type="dxa"/>
            <w:vAlign w:val="top"/>
          </w:tcPr>
          <w:p>
            <w:pPr>
              <w:pStyle w:val="TableText"/>
              <w:ind w:left="729"/>
              <w:spacing w:before="56" w:line="229" w:lineRule="auto"/>
              <w:rPr/>
            </w:pPr>
            <w:r>
              <w:rPr>
                <w:spacing w:val="7"/>
              </w:rPr>
              <w:t>糙米饭</w:t>
            </w:r>
          </w:p>
        </w:tc>
        <w:tc>
          <w:tcPr>
            <w:tcW w:w="1815" w:type="dxa"/>
            <w:vAlign w:val="top"/>
          </w:tcPr>
          <w:p>
            <w:pPr>
              <w:pStyle w:val="TableText"/>
              <w:ind w:left="848"/>
              <w:spacing w:before="67"/>
              <w:rPr/>
            </w:pPr>
            <w:r>
              <w:rPr>
                <w:spacing w:val="-1"/>
              </w:rPr>
              <w:t>71</w:t>
            </w:r>
          </w:p>
        </w:tc>
      </w:tr>
      <w:tr>
        <w:trPr>
          <w:trHeight w:val="222" w:hRule="atLeast"/>
        </w:trPr>
        <w:tc>
          <w:tcPr>
            <w:tcW w:w="1814" w:type="dxa"/>
            <w:vAlign w:val="top"/>
          </w:tcPr>
          <w:p>
            <w:pPr>
              <w:pStyle w:val="TableText"/>
              <w:ind w:left="672"/>
              <w:spacing w:before="57" w:line="228" w:lineRule="auto"/>
              <w:rPr/>
            </w:pPr>
            <w:r>
              <w:rPr>
                <w:spacing w:val="6"/>
              </w:rPr>
              <w:t>荞麦面条</w:t>
            </w:r>
          </w:p>
        </w:tc>
        <w:tc>
          <w:tcPr>
            <w:tcW w:w="1815" w:type="dxa"/>
            <w:vAlign w:val="top"/>
          </w:tcPr>
          <w:p>
            <w:pPr>
              <w:pStyle w:val="TableText"/>
              <w:ind w:left="848"/>
              <w:spacing w:before="69" w:line="239" w:lineRule="auto"/>
              <w:rPr/>
            </w:pPr>
            <w:r>
              <w:rPr>
                <w:spacing w:val="-1"/>
              </w:rPr>
              <w:t>59</w:t>
            </w:r>
          </w:p>
        </w:tc>
      </w:tr>
      <w:tr>
        <w:trPr>
          <w:trHeight w:val="229" w:hRule="atLeast"/>
        </w:trPr>
        <w:tc>
          <w:tcPr>
            <w:tcW w:w="1814" w:type="dxa"/>
            <w:vAlign w:val="top"/>
          </w:tcPr>
          <w:p>
            <w:pPr>
              <w:pStyle w:val="TableText"/>
              <w:ind w:left="729"/>
              <w:spacing w:before="61" w:line="228" w:lineRule="auto"/>
              <w:rPr/>
            </w:pPr>
            <w:r>
              <w:rPr>
                <w:spacing w:val="8"/>
              </w:rPr>
              <w:t>燕麦粥</w:t>
            </w:r>
          </w:p>
        </w:tc>
        <w:tc>
          <w:tcPr>
            <w:tcW w:w="1815" w:type="dxa"/>
            <w:vAlign w:val="top"/>
          </w:tcPr>
          <w:p>
            <w:pPr>
              <w:pStyle w:val="TableText"/>
              <w:ind w:left="848"/>
              <w:spacing w:before="73" w:line="146" w:lineRule="exact"/>
              <w:rPr/>
            </w:pPr>
            <w:r>
              <w:rPr>
                <w:spacing w:val="-1"/>
                <w:position w:val="1"/>
              </w:rPr>
              <w:t>55</w:t>
            </w:r>
          </w:p>
        </w:tc>
      </w:tr>
      <w:tr>
        <w:trPr>
          <w:trHeight w:val="222" w:hRule="atLeast"/>
        </w:trPr>
        <w:tc>
          <w:tcPr>
            <w:tcW w:w="1814" w:type="dxa"/>
            <w:vAlign w:val="top"/>
          </w:tcPr>
          <w:p>
            <w:pPr>
              <w:pStyle w:val="TableText"/>
              <w:ind w:left="729"/>
              <w:spacing w:before="58" w:line="229" w:lineRule="auto"/>
              <w:rPr/>
            </w:pPr>
            <w:r>
              <w:rPr>
                <w:spacing w:val="7"/>
              </w:rPr>
              <w:t>鹰嘴豆</w:t>
            </w:r>
          </w:p>
        </w:tc>
        <w:tc>
          <w:tcPr>
            <w:tcW w:w="1815" w:type="dxa"/>
            <w:vAlign w:val="top"/>
          </w:tcPr>
          <w:p>
            <w:pPr>
              <w:pStyle w:val="TableText"/>
              <w:ind w:left="848"/>
              <w:spacing w:before="70" w:line="237" w:lineRule="auto"/>
              <w:rPr/>
            </w:pPr>
            <w:r>
              <w:rPr>
                <w:spacing w:val="-1"/>
              </w:rPr>
              <w:t>33</w:t>
            </w:r>
          </w:p>
        </w:tc>
      </w:tr>
      <w:tr>
        <w:trPr>
          <w:trHeight w:val="221" w:hRule="atLeast"/>
        </w:trPr>
        <w:tc>
          <w:tcPr>
            <w:shd w:val="clear" w:fill="CBDBFC"/>
            <w:tcW w:w="1814" w:type="dxa"/>
            <w:vAlign w:val="top"/>
          </w:tcPr>
          <w:p>
            <w:pPr>
              <w:pStyle w:val="TableText"/>
              <w:ind w:left="788"/>
              <w:spacing w:before="62" w:line="233" w:lineRule="auto"/>
              <w:rPr/>
            </w:pPr>
            <w:r>
              <w:rPr>
                <w:spacing w:val="8"/>
              </w:rPr>
              <w:t>芸豆</w:t>
            </w:r>
          </w:p>
        </w:tc>
        <w:tc>
          <w:tcPr>
            <w:shd w:val="clear" w:fill="CBDBFC"/>
            <w:tcW w:w="1815" w:type="dxa"/>
            <w:vAlign w:val="top"/>
          </w:tcPr>
          <w:p>
            <w:pPr>
              <w:pStyle w:val="TableText"/>
              <w:ind w:left="848"/>
              <w:spacing w:before="70" w:line="235" w:lineRule="auto"/>
              <w:rPr/>
            </w:pPr>
            <w:r>
              <w:rPr>
                <w:spacing w:val="-1"/>
              </w:rPr>
              <w:t>24</w:t>
            </w:r>
          </w:p>
        </w:tc>
      </w:tr>
    </w:tbl>
    <w:p>
      <w:pPr>
        <w:pStyle w:val="BodyText"/>
        <w:ind w:left="1219"/>
        <w:spacing w:before="208" w:line="222" w:lineRule="auto"/>
        <w:rPr/>
      </w:pPr>
      <w:r>
        <w:rPr>
          <w:spacing w:val="3"/>
        </w:rPr>
        <w:t>芸豆升糖指数与常见血糖友好型主食对比(数据：参考文献[1])</w:t>
      </w:r>
    </w:p>
    <w:p>
      <w:pPr>
        <w:pStyle w:val="BodyText"/>
        <w:ind w:right="71" w:firstLine="163"/>
        <w:spacing w:before="180" w:line="319" w:lineRule="auto"/>
        <w:rPr/>
      </w:pPr>
      <w:r>
        <w:rPr>
          <w:spacing w:val="3"/>
        </w:rPr>
        <w:t>低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</w:rPr>
        <w:t>GI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3"/>
        </w:rPr>
        <w:t>食物对于血糖管理非常有益，尤其适合糖尿病患者或有血糖管理需求的人群。此外</w:t>
      </w:r>
      <w:r>
        <w:rPr>
          <w:spacing w:val="2"/>
        </w:rPr>
        <w:t>，稳定的血糖水平也有助于控制</w:t>
      </w:r>
      <w:r>
        <w:rPr/>
        <w:t xml:space="preserve"> </w:t>
      </w:r>
      <w:r>
        <w:rPr>
          <w:spacing w:val="2"/>
        </w:rPr>
        <w:t>食欲，避免因血糖快速下降而引发的饥饿感，对维持健康体重也有帮助。</w:t>
      </w:r>
    </w:p>
    <w:p>
      <w:pPr>
        <w:pStyle w:val="BodyText"/>
        <w:ind w:left="164"/>
        <w:spacing w:before="152" w:line="224" w:lineRule="auto"/>
        <w:rPr/>
      </w:pPr>
      <w:r>
        <w:rPr>
          <w:b/>
          <w:bCs/>
          <w:spacing w:val="2"/>
        </w:rPr>
        <w:t>白芸豆真的能减肥吗</w:t>
      </w:r>
      <w:r>
        <w:rPr>
          <w:spacing w:val="2"/>
        </w:rPr>
        <w:t>?</w:t>
      </w:r>
    </w:p>
    <w:p>
      <w:pPr>
        <w:pStyle w:val="BodyText"/>
        <w:ind w:right="43" w:firstLine="163"/>
        <w:spacing w:before="190" w:line="339" w:lineRule="auto"/>
        <w:rPr/>
      </w:pPr>
      <w:r>
        <w:rPr>
          <w:spacing w:val="3"/>
        </w:rPr>
        <w:t>在现实中，白芸豆仅能起到辅助减肥的作用。而关于白芸豆提取物，目前减肥效果的科</w:t>
      </w:r>
      <w:r>
        <w:rPr>
          <w:spacing w:val="2"/>
        </w:rPr>
        <w:t>学评价并不一致，没有足够的证据</w:t>
      </w:r>
      <w:r>
        <w:rPr/>
        <w:t xml:space="preserve"> </w:t>
      </w:r>
      <w:r>
        <w:rPr>
          <w:spacing w:val="2"/>
        </w:rPr>
        <w:t>确定食用白芸豆提取物与减轻体重之间的因果关系。</w:t>
      </w:r>
    </w:p>
    <w:p>
      <w:pPr>
        <w:pStyle w:val="BodyText"/>
        <w:ind w:left="164"/>
        <w:spacing w:before="136" w:line="222" w:lineRule="auto"/>
        <w:outlineLvl w:val="0"/>
        <w:rPr/>
      </w:pPr>
      <w:r>
        <w:rPr>
          <w:rFonts w:ascii="SimSun" w:hAnsi="SimSun" w:eastAsia="SimSun" w:cs="SimSun"/>
          <w:b/>
          <w:bCs/>
          <w:spacing w:val="2"/>
        </w:rPr>
        <w:t>1.</w:t>
      </w:r>
      <w:r>
        <w:rPr>
          <w:b/>
          <w:bCs/>
          <w:spacing w:val="2"/>
        </w:rPr>
        <w:t>为什么说白芸豆能减肥?</w:t>
      </w:r>
    </w:p>
    <w:p>
      <w:pPr>
        <w:pStyle w:val="BodyText"/>
        <w:ind w:left="163"/>
        <w:spacing w:before="187" w:line="215" w:lineRule="auto"/>
        <w:rPr/>
      </w:pPr>
      <w:r>
        <w:rPr/>
        <w:t>白芸豆最引人注目的特性之一，就是其含有的α-淀粉酶抑制剂，这也是市面上许多“白芸豆提取物“减肥产品</w:t>
      </w:r>
      <w:r>
        <w:rPr>
          <w:spacing w:val="-1"/>
        </w:rPr>
        <w:t>的核心成分。</w:t>
      </w:r>
    </w:p>
    <w:p>
      <w:pPr>
        <w:pStyle w:val="BodyText"/>
        <w:ind w:left="163"/>
        <w:spacing w:before="191" w:line="222" w:lineRule="auto"/>
        <w:rPr/>
      </w:pPr>
      <w:r>
        <w:rPr>
          <w:spacing w:val="-1"/>
        </w:rPr>
        <w:t>α-淀粉酶抑制剂为什么能减肥?</w:t>
      </w:r>
    </w:p>
    <w:p>
      <w:pPr>
        <w:pStyle w:val="BodyText"/>
        <w:ind w:right="51" w:firstLine="163"/>
        <w:spacing w:before="191" w:line="352" w:lineRule="auto"/>
        <w:rPr/>
      </w:pPr>
      <w:r>
        <w:rPr>
          <w:spacing w:val="2"/>
        </w:rPr>
        <w:t>α-淀粉酶是人体消化系统中负责分解淀粉的重要酶，它能将淀粉分解为更小的分子，最终转化</w:t>
      </w:r>
      <w:r>
        <w:rPr>
          <w:spacing w:val="1"/>
        </w:rPr>
        <w:t>为葡萄糖被人体吸收。而白</w:t>
      </w:r>
      <w:r>
        <w:rPr/>
        <w:t xml:space="preserve"> </w:t>
      </w:r>
      <w:r>
        <w:rPr>
          <w:spacing w:val="1"/>
        </w:rPr>
        <w:t>芸豆中的α-淀粉酶抑制剂能够与这种酶结合，抑制其活性，从而减缓淀粉的消化和吸收过程[3]。</w:t>
      </w:r>
    </w:p>
    <w:p>
      <w:pPr>
        <w:pStyle w:val="BodyText"/>
        <w:ind w:right="40" w:firstLine="163"/>
        <w:spacing w:before="127" w:line="330" w:lineRule="auto"/>
        <w:rPr/>
      </w:pPr>
      <w:r>
        <w:rPr>
          <w:spacing w:val="3"/>
        </w:rPr>
        <w:t>理论上，这意味着食用含有白芸豆提取物的产品后，部分淀粉可能不会被完全消化吸收，而是</w:t>
      </w:r>
      <w:r>
        <w:rPr>
          <w:spacing w:val="2"/>
        </w:rPr>
        <w:t>直接排出体外，从而减少热</w:t>
      </w:r>
      <w:r>
        <w:rPr/>
        <w:t xml:space="preserve"> </w:t>
      </w:r>
      <w:r>
        <w:rPr>
          <w:spacing w:val="-3"/>
        </w:rPr>
        <w:t>量的摄入。这也是为什么白芸豆提取物常被宣传</w:t>
      </w:r>
      <w:r>
        <w:rPr>
          <w:spacing w:val="-4"/>
        </w:rPr>
        <w:t>为“淀粉阻断剂”或“碳水拦截者”。</w:t>
      </w:r>
    </w:p>
    <w:p>
      <w:pPr>
        <w:pStyle w:val="BodyText"/>
        <w:ind w:left="164"/>
        <w:spacing w:before="137" w:line="224" w:lineRule="auto"/>
        <w:outlineLvl w:val="0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-2"/>
        </w:rPr>
        <w:t>2.</w:t>
      </w:r>
      <w:r>
        <w:rPr>
          <w:sz w:val="9"/>
          <w:szCs w:val="9"/>
          <w:b/>
          <w:bCs/>
          <w:spacing w:val="-2"/>
        </w:rPr>
        <w:t>白芸豆白芸豆提取物</w:t>
      </w:r>
    </w:p>
    <w:p>
      <w:pPr>
        <w:pStyle w:val="BodyText"/>
        <w:ind w:left="163"/>
        <w:spacing w:before="185" w:line="215" w:lineRule="auto"/>
        <w:rPr/>
      </w:pPr>
      <w:r>
        <w:rPr>
          <w:spacing w:val="2"/>
        </w:rPr>
        <w:t>然而，需要明确的是，直接食用白芸豆与服用白芸豆提取物是完全不同的两回事。</w:t>
      </w:r>
    </w:p>
    <w:p>
      <w:pPr>
        <w:pStyle w:val="BodyText"/>
        <w:ind w:right="29" w:firstLine="163"/>
        <w:spacing w:before="197" w:line="327" w:lineRule="auto"/>
        <w:rPr/>
      </w:pPr>
      <w:r>
        <w:rPr>
          <w:spacing w:val="2"/>
        </w:rPr>
        <w:t>首先，白芸豆提取物是经过特殊工艺从白芸豆中提取并浓缩的活性成分，其α-淀粉酶抑制剂的含量和活性远高于普通烹饪</w:t>
      </w:r>
      <w:r>
        <w:rPr>
          <w:spacing w:val="9"/>
        </w:rPr>
        <w:t xml:space="preserve"> </w:t>
      </w:r>
      <w:r>
        <w:rPr>
          <w:spacing w:val="2"/>
        </w:rPr>
        <w:t>后的白芸豆。普通烹饪过程中的高温会使大部分α-淀粉酶抑制剂失</w:t>
      </w:r>
      <w:r>
        <w:rPr>
          <w:spacing w:val="1"/>
        </w:rPr>
        <w:t>活，大大降低其阻断淀粉的效果。</w:t>
      </w:r>
    </w:p>
    <w:p>
      <w:pPr>
        <w:pStyle w:val="BodyText"/>
        <w:ind w:right="40" w:firstLine="163"/>
        <w:spacing w:before="149" w:line="327" w:lineRule="auto"/>
        <w:rPr/>
      </w:pPr>
      <w:r>
        <w:rPr>
          <w:spacing w:val="3"/>
        </w:rPr>
        <w:t>其次，白芸豆提取物只针对淀粉类碳水化合物有阻断作用，对于高热量的糖类和脂肪则完全</w:t>
      </w:r>
      <w:r>
        <w:rPr>
          <w:spacing w:val="2"/>
        </w:rPr>
        <w:t>无效。这意味着，即使服用了</w:t>
      </w:r>
      <w:r>
        <w:rPr/>
        <w:t xml:space="preserve"> </w:t>
      </w:r>
      <w:r>
        <w:rPr>
          <w:spacing w:val="2"/>
        </w:rPr>
        <w:t>白芸豆提取物</w:t>
      </w:r>
      <w:r>
        <w:rPr>
          <w:color w:val="101030"/>
          <w:spacing w:val="2"/>
        </w:rPr>
        <w:t>，</w:t>
      </w:r>
      <w:r>
        <w:rPr>
          <w:spacing w:val="2"/>
        </w:rPr>
        <w:t>如果同时摄入大量的糖分或脂肪，减肥效果也会大打折扣。</w:t>
      </w:r>
    </w:p>
    <w:p>
      <w:pPr>
        <w:pStyle w:val="BodyText"/>
        <w:ind w:firstLine="163"/>
        <w:spacing w:before="146" w:line="328" w:lineRule="auto"/>
        <w:rPr/>
      </w:pPr>
      <w:r>
        <w:rPr>
          <w:spacing w:val="3"/>
        </w:rPr>
        <w:t>更重要的是，关于白芸豆提取物减肥效果的科学评价并不一致。欧洲食品安全局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EFSA</w:t>
      </w:r>
      <w:r>
        <w:rPr>
          <w:rFonts w:ascii="SimSun" w:hAnsi="SimSun" w:eastAsia="SimSun" w:cs="SimSun"/>
          <w:spacing w:val="3"/>
        </w:rPr>
        <w:t>)</w:t>
      </w:r>
      <w:r>
        <w:rPr>
          <w:rFonts w:ascii="SimSun" w:hAnsi="SimSun" w:eastAsia="SimSun" w:cs="SimSun"/>
          <w:spacing w:val="14"/>
          <w:w w:val="102"/>
        </w:rPr>
        <w:t xml:space="preserve">  </w:t>
      </w:r>
      <w:r>
        <w:rPr>
          <w:spacing w:val="3"/>
        </w:rPr>
        <w:t>在2</w:t>
      </w:r>
      <w:r>
        <w:rPr>
          <w:spacing w:val="2"/>
        </w:rPr>
        <w:t>014年的评估中指出：“没</w:t>
      </w:r>
      <w:r>
        <w:rPr/>
        <w:t xml:space="preserve">   </w:t>
      </w:r>
      <w:r>
        <w:rPr>
          <w:spacing w:val="1"/>
        </w:rPr>
        <w:t>有足够的证据确定食用白芸豆提取物与减轻体重之间的因果关系”[4]。虽然有一些小规模研究显示白芸豆提取物可能有助于减轻</w:t>
      </w:r>
      <w:r>
        <w:rPr>
          <w:spacing w:val="12"/>
          <w:w w:val="101"/>
        </w:rPr>
        <w:t xml:space="preserve"> </w:t>
      </w:r>
      <w:r>
        <w:rPr>
          <w:spacing w:val="2"/>
        </w:rPr>
        <w:t>体重，但大多数研究的样本量较小，持续时间较短，结果也不够稳定。</w:t>
      </w: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1"/>
          <w:footerReference w:type="default" r:id="rId2"/>
          <w:pgSz w:w="4872" w:h="31680"/>
          <w:pgMar w:top="1" w:right="138" w:bottom="1" w:left="141" w:header="0" w:footer="0" w:gutter="0"/>
          <w:cols w:equalWidth="0" w:num="1">
            <w:col w:w="4592" w:space="0"/>
          </w:cols>
        </w:sectPr>
        <w:rPr/>
      </w:pPr>
    </w:p>
    <w:p>
      <w:pPr>
        <w:ind w:firstLine="588"/>
        <w:spacing w:before="30" w:line="305" w:lineRule="exact"/>
        <w:rPr/>
      </w:pPr>
      <w:r>
        <w:rPr>
          <w:position w:val="-6"/>
        </w:rPr>
        <w:drawing>
          <wp:inline distT="0" distB="0" distL="0" distR="0">
            <wp:extent cx="697586" cy="19332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586" cy="1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201" w:line="208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050A0"/>
          <w:spacing w:val="1"/>
        </w:rPr>
        <w:t>EUROPEAN   FOOD</w:t>
      </w:r>
    </w:p>
    <w:p>
      <w:pPr>
        <w:spacing w:before="26" w:line="208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05090"/>
          <w:spacing w:val="1"/>
        </w:rPr>
        <w:t>SAFETY  AUTHORITY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3"/>
        <w:jc w:val="right"/>
        <w:rPr>
          <w:rFonts w:ascii="Arial" w:hAnsi="Arial" w:eastAsia="Arial" w:cs="Arial"/>
          <w:sz w:val="8"/>
          <w:szCs w:val="8"/>
        </w:rPr>
      </w:pPr>
      <w:r>
        <w:rPr>
          <w:rFonts w:ascii="Arial" w:hAnsi="Arial" w:eastAsia="Arial" w:cs="Arial"/>
          <w:sz w:val="6"/>
          <w:szCs w:val="6"/>
          <w:color w:val="304060"/>
          <w:position w:val="-4"/>
        </w:rPr>
        <w:drawing>
          <wp:inline distT="0" distB="0" distL="0" distR="0">
            <wp:extent cx="117630" cy="9434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30" cy="9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"/>
          <w:szCs w:val="6"/>
          <w:b/>
          <w:bCs/>
          <w:color w:val="304060"/>
          <w:position w:val="1"/>
        </w:rPr>
        <w:t>English           </w:t>
      </w:r>
      <w:r>
        <w:rPr>
          <w:rFonts w:ascii="Arial" w:hAnsi="Arial" w:eastAsia="Arial" w:cs="Arial"/>
          <w:sz w:val="8"/>
          <w:szCs w:val="8"/>
          <w:b/>
          <w:bCs/>
          <w:color w:val="102040"/>
          <w:position w:val="-1"/>
        </w:rPr>
        <w:t>Calendar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20"/>
        <w:spacing w:before="100" w:line="171" w:lineRule="exact"/>
        <w:rPr/>
      </w:pPr>
      <w:r>
        <w:rPr>
          <w:position w:val="-3"/>
        </w:rPr>
        <w:drawing>
          <wp:inline distT="0" distB="0" distL="0" distR="0">
            <wp:extent cx="82709" cy="10842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09" cy="10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1" w:lineRule="exact"/>
        <w:sectPr>
          <w:type w:val="continuous"/>
          <w:pgSz w:w="4872" w:h="31680"/>
          <w:pgMar w:top="1" w:right="138" w:bottom="1" w:left="141" w:header="0" w:footer="0" w:gutter="0"/>
          <w:cols w:equalWidth="0" w:num="4">
            <w:col w:w="1688" w:space="32"/>
            <w:col w:w="1100" w:space="100"/>
            <w:col w:w="939" w:space="13"/>
            <w:col w:w="720" w:space="0"/>
          </w:cols>
        </w:sectPr>
        <w:rPr/>
      </w:pPr>
    </w:p>
    <w:p>
      <w:pPr>
        <w:ind w:firstLine="475"/>
        <w:spacing w:before="38" w:line="176" w:lineRule="exact"/>
        <w:rPr/>
      </w:pPr>
      <w:r>
        <w:rPr>
          <w:position w:val="-3"/>
        </w:rPr>
        <w:pict>
          <v:shape id="_x0000_s2" style="mso-position-vertical-relative:line;mso-position-horizontal-relative:char;width:182.8pt;height:8.85pt;" fillcolor="#E8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58" w:line="202" w:lineRule="auto"/>
                    <w:jc w:val="right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color w:val="303060"/>
                    </w:rPr>
                    <w:t>Abou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304060"/>
                    </w:rPr>
                    <w:t>t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304060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304060"/>
                    </w:rPr>
                    <w:t>∨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30406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304060"/>
                    </w:rPr>
                    <w:t>Newsroom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304060"/>
                      <w:spacing w:val="18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304060"/>
                    </w:rPr>
                    <w:t>v   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03050"/>
                    </w:rPr>
                    <w:t>Topics          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202040"/>
                      <w:position w:val="-1"/>
                    </w:rPr>
                    <w:t>Resources           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03040"/>
                    </w:rPr>
                    <w:t>Publications  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03060"/>
                    </w:rPr>
                    <w:t>Applicationsv     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03060"/>
                      <w:spacing w:val="-1"/>
                    </w:rPr>
                    <w:t>Engagev     Care</w:t>
                  </w:r>
                </w:p>
              </w:txbxContent>
            </v:textbox>
          </v:shape>
        </w:pict>
      </w:r>
    </w:p>
    <w:p>
      <w:pPr>
        <w:ind w:left="634"/>
        <w:spacing w:before="93" w:line="212" w:lineRule="auto"/>
        <w:rPr>
          <w:rFonts w:ascii="Times New Roman" w:hAnsi="Times New Roman" w:eastAsia="Times New Roman" w:cs="Times New Roman"/>
          <w:sz w:val="6"/>
          <w:szCs w:val="6"/>
        </w:rPr>
      </w:pPr>
      <w:r>
        <w:rPr>
          <w:rFonts w:ascii="Times New Roman" w:hAnsi="Times New Roman" w:eastAsia="Times New Roman" w:cs="Times New Roman"/>
          <w:sz w:val="6"/>
          <w:szCs w:val="6"/>
          <w:color w:val="4060A0"/>
          <w:spacing w:val="3"/>
        </w:rPr>
        <w:t>Home</w:t>
      </w:r>
      <w:r>
        <w:rPr>
          <w:rFonts w:ascii="Times New Roman" w:hAnsi="Times New Roman" w:eastAsia="Times New Roman" w:cs="Times New Roman"/>
          <w:sz w:val="6"/>
          <w:szCs w:val="6"/>
          <w:color w:val="4060A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6"/>
          <w:szCs w:val="6"/>
          <w:color w:val="4060A0"/>
          <w:spacing w:val="3"/>
        </w:rPr>
        <w:t>/ </w:t>
      </w:r>
      <w:r>
        <w:rPr>
          <w:rFonts w:ascii="Times New Roman" w:hAnsi="Times New Roman" w:eastAsia="Times New Roman" w:cs="Times New Roman"/>
          <w:sz w:val="6"/>
          <w:szCs w:val="6"/>
          <w:color w:val="3060A0"/>
          <w:spacing w:val="3"/>
        </w:rPr>
        <w:t>Publications</w:t>
      </w:r>
    </w:p>
    <w:p>
      <w:pPr>
        <w:pStyle w:val="BodyText"/>
        <w:ind w:left="544"/>
        <w:spacing w:before="62" w:line="230" w:lineRule="auto"/>
        <w:rPr>
          <w:sz w:val="14"/>
          <w:szCs w:val="14"/>
        </w:rPr>
      </w:pPr>
      <w:r>
        <w:rPr>
          <w:sz w:val="14"/>
          <w:szCs w:val="14"/>
          <w:b/>
          <w:bCs/>
          <w:color w:val="FF2010"/>
          <w:spacing w:val="1"/>
        </w:rPr>
        <w:t>科学观点：关于白芸豆标准化提取物与体重减轻的关系</w:t>
      </w:r>
    </w:p>
    <w:p>
      <w:pPr>
        <w:ind w:left="605"/>
        <w:spacing w:before="29" w:line="2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color w:val="202050"/>
        </w:rPr>
        <w:t>Scientific</w:t>
      </w:r>
      <w:r>
        <w:rPr>
          <w:rFonts w:ascii="Arial" w:hAnsi="Arial" w:eastAsia="Arial" w:cs="Arial"/>
          <w:sz w:val="15"/>
          <w:szCs w:val="15"/>
          <w:b/>
          <w:bCs/>
          <w:color w:val="20205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202050"/>
        </w:rPr>
        <w:t>Opinion</w:t>
      </w:r>
      <w:r>
        <w:rPr>
          <w:rFonts w:ascii="Arial" w:hAnsi="Arial" w:eastAsia="Arial" w:cs="Arial"/>
          <w:sz w:val="15"/>
          <w:szCs w:val="15"/>
          <w:b/>
          <w:bCs/>
          <w:color w:val="20205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202050"/>
        </w:rPr>
        <w:t>on</w:t>
      </w:r>
      <w:r>
        <w:rPr>
          <w:rFonts w:ascii="Arial" w:hAnsi="Arial" w:eastAsia="Arial" w:cs="Arial"/>
          <w:sz w:val="15"/>
          <w:szCs w:val="15"/>
          <w:b/>
          <w:bCs/>
          <w:color w:val="20205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202050"/>
        </w:rPr>
        <w:t>the</w:t>
      </w:r>
      <w:r>
        <w:rPr>
          <w:rFonts w:ascii="Arial" w:hAnsi="Arial" w:eastAsia="Arial" w:cs="Arial"/>
          <w:sz w:val="15"/>
          <w:szCs w:val="15"/>
          <w:b/>
          <w:bCs/>
          <w:color w:val="20205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202050"/>
        </w:rPr>
        <w:t>substantiation</w:t>
      </w:r>
      <w:r>
        <w:rPr>
          <w:rFonts w:ascii="Arial" w:hAnsi="Arial" w:eastAsia="Arial" w:cs="Arial"/>
          <w:sz w:val="15"/>
          <w:szCs w:val="15"/>
          <w:b/>
          <w:bCs/>
          <w:color w:val="20205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202050"/>
        </w:rPr>
        <w:t>of</w:t>
      </w:r>
      <w:r>
        <w:rPr>
          <w:rFonts w:ascii="Arial" w:hAnsi="Arial" w:eastAsia="Arial" w:cs="Arial"/>
          <w:sz w:val="15"/>
          <w:szCs w:val="15"/>
          <w:b/>
          <w:bCs/>
          <w:color w:val="20205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202050"/>
        </w:rPr>
        <w:t>a</w:t>
      </w:r>
    </w:p>
    <w:p>
      <w:pPr>
        <w:ind w:left="605"/>
        <w:spacing w:before="25" w:line="2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color w:val="102040"/>
        </w:rPr>
        <w:t>health claim related to a</w:t>
      </w:r>
      <w:r>
        <w:rPr>
          <w:rFonts w:ascii="Arial" w:hAnsi="Arial" w:eastAsia="Arial" w:cs="Arial"/>
          <w:sz w:val="15"/>
          <w:szCs w:val="15"/>
          <w:b/>
          <w:bCs/>
          <w:color w:val="10204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102040"/>
        </w:rPr>
        <w:t>standardised</w:t>
      </w:r>
      <w:r>
        <w:rPr>
          <w:rFonts w:ascii="Arial" w:hAnsi="Arial" w:eastAsia="Arial" w:cs="Arial"/>
          <w:sz w:val="15"/>
          <w:szCs w:val="15"/>
          <w:b/>
          <w:bCs/>
          <w:color w:val="10204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color w:val="102040"/>
        </w:rPr>
        <w:t>aq</w:t>
      </w:r>
      <w:r>
        <w:rPr>
          <w:rFonts w:ascii="Arial" w:hAnsi="Arial" w:eastAsia="Arial" w:cs="Arial"/>
          <w:sz w:val="15"/>
          <w:szCs w:val="15"/>
          <w:b/>
          <w:bCs/>
          <w:color w:val="102040"/>
          <w:spacing w:val="-1"/>
        </w:rPr>
        <w:t>u</w:t>
      </w:r>
      <w:r>
        <w:rPr>
          <w:rFonts w:ascii="Arial" w:hAnsi="Arial" w:eastAsia="Arial" w:cs="Arial"/>
          <w:sz w:val="15"/>
          <w:szCs w:val="15"/>
          <w:color w:val="102040"/>
          <w:spacing w:val="-1"/>
        </w:rPr>
        <w:t>eous</w:t>
      </w:r>
    </w:p>
    <w:p>
      <w:pPr>
        <w:ind w:left="605"/>
        <w:spacing w:before="36" w:line="17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02040"/>
        </w:rPr>
        <w:t>extract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02040"/>
        </w:rPr>
        <w:t>from  white   kidney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02040"/>
        </w:rPr>
        <w:t>bean(Phaseolus</w:t>
      </w:r>
    </w:p>
    <w:p>
      <w:pPr>
        <w:ind w:left="605"/>
        <w:spacing w:line="18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position w:val="2"/>
        </w:rPr>
        <w:t>vulgaris</w:t>
      </w:r>
      <w:r>
        <w:rPr>
          <w:rFonts w:ascii="Arial" w:hAnsi="Arial" w:eastAsia="Arial" w:cs="Arial"/>
          <w:sz w:val="15"/>
          <w:szCs w:val="15"/>
          <w:b/>
          <w:bCs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position w:val="2"/>
        </w:rPr>
        <w:t>L</w:t>
      </w:r>
      <w:r>
        <w:rPr>
          <w:rFonts w:ascii="Arial" w:hAnsi="Arial" w:eastAsia="Arial" w:cs="Arial"/>
          <w:sz w:val="15"/>
          <w:szCs w:val="15"/>
          <w:b/>
          <w:bCs/>
          <w:spacing w:val="5"/>
          <w:position w:val="2"/>
        </w:rPr>
        <w:t>.)</w:t>
      </w:r>
      <w:r>
        <w:rPr>
          <w:rFonts w:ascii="Arial" w:hAnsi="Arial" w:eastAsia="Arial" w:cs="Arial"/>
          <w:sz w:val="15"/>
          <w:szCs w:val="15"/>
          <w:b/>
          <w:bCs/>
          <w:position w:val="2"/>
        </w:rPr>
        <w:t>and</w:t>
      </w:r>
      <w:r>
        <w:rPr>
          <w:rFonts w:ascii="Arial" w:hAnsi="Arial" w:eastAsia="Arial" w:cs="Arial"/>
          <w:sz w:val="15"/>
          <w:szCs w:val="15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position w:val="2"/>
        </w:rPr>
        <w:t>reduction</w:t>
      </w:r>
      <w:r>
        <w:rPr>
          <w:rFonts w:ascii="Arial" w:hAnsi="Arial" w:eastAsia="Arial" w:cs="Arial"/>
          <w:sz w:val="15"/>
          <w:szCs w:val="15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position w:val="2"/>
        </w:rPr>
        <w:t>of</w:t>
      </w:r>
      <w:r>
        <w:rPr>
          <w:rFonts w:ascii="Arial" w:hAnsi="Arial" w:eastAsia="Arial" w:cs="Arial"/>
          <w:sz w:val="15"/>
          <w:szCs w:val="15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position w:val="2"/>
        </w:rPr>
        <w:t>body</w:t>
      </w:r>
      <w:r>
        <w:rPr>
          <w:rFonts w:ascii="Arial" w:hAnsi="Arial" w:eastAsia="Arial" w:cs="Arial"/>
          <w:sz w:val="15"/>
          <w:szCs w:val="15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position w:val="2"/>
        </w:rPr>
        <w:t>weight</w:t>
      </w:r>
    </w:p>
    <w:p>
      <w:pPr>
        <w:ind w:left="605"/>
        <w:spacing w:line="18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02040"/>
          <w:position w:val="2"/>
        </w:rPr>
        <w:t>pursuant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0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02040"/>
          <w:position w:val="2"/>
        </w:rPr>
        <w:t>to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0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02040"/>
          <w:position w:val="2"/>
        </w:rPr>
        <w:t>Article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0"/>
          <w:position w:val="2"/>
        </w:rPr>
        <w:t xml:space="preserve">   13(5)</w:t>
      </w:r>
      <w:r>
        <w:rPr>
          <w:rFonts w:ascii="Arial" w:hAnsi="Arial" w:eastAsia="Arial" w:cs="Arial"/>
          <w:sz w:val="14"/>
          <w:szCs w:val="14"/>
          <w:b/>
          <w:bCs/>
          <w:color w:val="202040"/>
          <w:position w:val="2"/>
        </w:rPr>
        <w:t>of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0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02040"/>
          <w:position w:val="2"/>
        </w:rPr>
        <w:t>Regulation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0"/>
          <w:position w:val="2"/>
        </w:rPr>
        <w:t>(</w:t>
      </w:r>
      <w:r>
        <w:rPr>
          <w:rFonts w:ascii="Arial" w:hAnsi="Arial" w:eastAsia="Arial" w:cs="Arial"/>
          <w:sz w:val="14"/>
          <w:szCs w:val="14"/>
          <w:b/>
          <w:bCs/>
          <w:color w:val="202040"/>
          <w:position w:val="2"/>
        </w:rPr>
        <w:t>EC</w:t>
      </w:r>
      <w:r>
        <w:rPr>
          <w:rFonts w:ascii="Arial" w:hAnsi="Arial" w:eastAsia="Arial" w:cs="Arial"/>
          <w:sz w:val="14"/>
          <w:szCs w:val="14"/>
          <w:b/>
          <w:bCs/>
          <w:color w:val="202040"/>
          <w:spacing w:val="10"/>
          <w:position w:val="2"/>
        </w:rPr>
        <w:t>)</w:t>
      </w:r>
      <w:r>
        <w:rPr>
          <w:rFonts w:ascii="Arial" w:hAnsi="Arial" w:eastAsia="Arial" w:cs="Arial"/>
          <w:sz w:val="14"/>
          <w:szCs w:val="14"/>
          <w:b/>
          <w:bCs/>
          <w:color w:val="202040"/>
          <w:position w:val="2"/>
        </w:rPr>
        <w:t>No</w:t>
      </w:r>
    </w:p>
    <w:p>
      <w:pPr>
        <w:ind w:left="621"/>
        <w:spacing w:before="43" w:line="19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2"/>
        </w:rPr>
        <w:t>1924/2006</w:t>
      </w:r>
    </w:p>
    <w:p>
      <w:pPr>
        <w:ind w:left="647"/>
        <w:spacing w:before="5" w:line="138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  <w:position w:val="1"/>
        </w:rPr>
        <w:t>bean could exert the claimed effect.The</w:t>
      </w:r>
      <w:r>
        <w:rPr>
          <w:rFonts w:ascii="Arial" w:hAnsi="Arial" w:eastAsia="Arial" w:cs="Arial"/>
          <w:sz w:val="10"/>
          <w:szCs w:val="10"/>
          <w:spacing w:val="10"/>
          <w:w w:val="102"/>
          <w:position w:val="1"/>
        </w:rPr>
        <w:t xml:space="preserve"> </w:t>
      </w:r>
      <w:r>
        <w:rPr>
          <w:rFonts w:ascii="Arial" w:hAnsi="Arial" w:eastAsia="Arial" w:cs="Arial"/>
          <w:sz w:val="10"/>
          <w:szCs w:val="10"/>
          <w:spacing w:val="-1"/>
          <w:position w:val="1"/>
        </w:rPr>
        <w:t>Panel concludes that the</w:t>
      </w:r>
      <w:r>
        <w:rPr>
          <w:rFonts w:ascii="Arial" w:hAnsi="Arial" w:eastAsia="Arial" w:cs="Arial"/>
          <w:sz w:val="10"/>
          <w:szCs w:val="1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0"/>
          <w:szCs w:val="10"/>
          <w:spacing w:val="-1"/>
          <w:position w:val="1"/>
        </w:rPr>
        <w:t>evidence</w:t>
      </w:r>
    </w:p>
    <w:p>
      <w:pPr>
        <w:ind w:left="647"/>
        <w:spacing w:before="6" w:line="189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b/>
          <w:bCs/>
          <w:spacing w:val="-5"/>
        </w:rPr>
        <w:t>provided</w:t>
      </w:r>
      <w:r>
        <w:rPr>
          <w:rFonts w:ascii="Arial" w:hAnsi="Arial" w:eastAsia="Arial" w:cs="Arial"/>
          <w:sz w:val="10"/>
          <w:szCs w:val="10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0"/>
          <w:szCs w:val="10"/>
          <w:b/>
          <w:bCs/>
          <w:spacing w:val="-5"/>
        </w:rPr>
        <w:t>is.insufficient to establish a cause and effect relationship_between</w:t>
      </w:r>
      <w:r>
        <w:rPr>
          <w:rFonts w:ascii="Arial" w:hAnsi="Arial" w:eastAsia="Arial" w:cs="Arial"/>
          <w:sz w:val="10"/>
          <w:szCs w:val="10"/>
          <w:b/>
          <w:bCs/>
          <w:spacing w:val="-2"/>
        </w:rPr>
        <w:t xml:space="preserve"> </w:t>
      </w:r>
      <w:r>
        <w:rPr>
          <w:rFonts w:ascii="Arial" w:hAnsi="Arial" w:eastAsia="Arial" w:cs="Arial"/>
          <w:sz w:val="10"/>
          <w:szCs w:val="10"/>
          <w:b/>
          <w:bCs/>
          <w:spacing w:val="-5"/>
        </w:rPr>
        <w:t>th</w:t>
      </w:r>
      <w:r>
        <w:rPr>
          <w:rFonts w:ascii="Arial" w:hAnsi="Arial" w:eastAsia="Arial" w:cs="Arial"/>
          <w:sz w:val="10"/>
          <w:szCs w:val="10"/>
          <w:spacing w:val="-5"/>
        </w:rPr>
        <w:t>e</w:t>
      </w:r>
    </w:p>
    <w:p>
      <w:pPr>
        <w:pStyle w:val="BodyText"/>
        <w:ind w:left="718"/>
        <w:spacing w:before="1" w:line="235" w:lineRule="auto"/>
        <w:rPr>
          <w:rFonts w:ascii="SimSun" w:hAnsi="SimSun" w:eastAsia="SimSun" w:cs="SimSun"/>
          <w:sz w:val="11"/>
          <w:szCs w:val="11"/>
        </w:rPr>
      </w:pPr>
      <w:r>
        <w:rPr>
          <w:sz w:val="12"/>
          <w:szCs w:val="12"/>
          <w:b/>
          <w:bCs/>
          <w:color w:val="F01010"/>
          <w:spacing w:val="6"/>
          <w:position w:val="-1"/>
        </w:rPr>
        <w:t>小组的结论是</w:t>
      </w:r>
      <w:r>
        <w:rPr>
          <w:rFonts w:ascii="Arial" w:hAnsi="Arial" w:eastAsia="Arial" w:cs="Arial"/>
          <w:sz w:val="12"/>
          <w:szCs w:val="12"/>
          <w:b/>
          <w:bCs/>
          <w:color w:val="F01010"/>
          <w:spacing w:val="6"/>
          <w:position w:val="-1"/>
        </w:rPr>
        <w:t>e</w:t>
      </w:r>
      <w:r>
        <w:rPr>
          <w:sz w:val="12"/>
          <w:szCs w:val="12"/>
          <w:b/>
          <w:bCs/>
          <w:color w:val="F01010"/>
          <w:spacing w:val="6"/>
          <w:position w:val="-1"/>
        </w:rPr>
        <w:t>早前的证</w:t>
      </w:r>
      <w:r>
        <w:rPr>
          <w:sz w:val="12"/>
          <w:szCs w:val="12"/>
          <w:color w:val="F01010"/>
          <w:spacing w:val="6"/>
          <w:position w:val="-1"/>
        </w:rPr>
        <w:t xml:space="preserve">     </w:t>
      </w:r>
      <w:r>
        <w:rPr>
          <w:sz w:val="11"/>
          <w:szCs w:val="11"/>
          <w:b/>
          <w:bCs/>
          <w:color w:val="F02010"/>
          <w:spacing w:val="6"/>
          <w:position w:val="1"/>
        </w:rPr>
        <w:t>以证明日芸豆标准化</w:t>
      </w:r>
      <w:r>
        <w:rPr>
          <w:sz w:val="11"/>
          <w:szCs w:val="11"/>
          <w:b/>
          <w:bCs/>
          <w:color w:val="F02010"/>
          <w:spacing w:val="5"/>
          <w:position w:val="1"/>
        </w:rPr>
        <w:t>提取物</w:t>
      </w:r>
      <w:r>
        <w:rPr>
          <w:rFonts w:ascii="SimSun" w:hAnsi="SimSun" w:eastAsia="SimSun" w:cs="SimSun"/>
          <w:sz w:val="11"/>
          <w:szCs w:val="11"/>
          <w:b/>
          <w:bCs/>
          <w:color w:val="A02020"/>
          <w:spacing w:val="5"/>
          <w:position w:val="1"/>
        </w:rPr>
        <w:t>n</w:t>
      </w:r>
    </w:p>
    <w:p>
      <w:pPr>
        <w:pStyle w:val="BodyText"/>
        <w:ind w:left="667"/>
        <w:spacing w:before="15" w:line="137" w:lineRule="exact"/>
        <w:rPr>
          <w:rFonts w:ascii="Arial" w:hAnsi="Arial" w:eastAsia="Arial" w:cs="Arial"/>
          <w:sz w:val="10"/>
          <w:szCs w:val="10"/>
        </w:rPr>
      </w:pPr>
      <w:r>
        <w:rPr>
          <w:sz w:val="10"/>
          <w:szCs w:val="10"/>
          <w:color w:val="F02020"/>
          <w:spacing w:val="13"/>
          <w:position w:val="1"/>
        </w:rPr>
        <w:t>(与体熏减轻之间有恩果关系</w:t>
      </w:r>
      <w:r>
        <w:rPr>
          <w:rFonts w:ascii="Arial" w:hAnsi="Arial" w:eastAsia="Arial" w:cs="Arial"/>
          <w:sz w:val="10"/>
          <w:szCs w:val="10"/>
          <w:color w:val="B03040"/>
          <w:position w:val="1"/>
        </w:rPr>
        <w:t>on</w:t>
      </w:r>
      <w:r>
        <w:rPr>
          <w:rFonts w:ascii="Arial" w:hAnsi="Arial" w:eastAsia="Arial" w:cs="Arial"/>
          <w:sz w:val="10"/>
          <w:szCs w:val="10"/>
          <w:color w:val="B03040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0"/>
          <w:szCs w:val="10"/>
          <w:color w:val="B03040"/>
          <w:position w:val="1"/>
        </w:rPr>
        <w:t>of</w:t>
      </w:r>
      <w:r>
        <w:rPr>
          <w:rFonts w:ascii="Arial" w:hAnsi="Arial" w:eastAsia="Arial" w:cs="Arial"/>
          <w:sz w:val="10"/>
          <w:szCs w:val="10"/>
          <w:color w:val="B03040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0"/>
          <w:szCs w:val="10"/>
          <w:color w:val="B03040"/>
          <w:position w:val="1"/>
        </w:rPr>
        <w:t>body</w:t>
      </w:r>
      <w:r>
        <w:rPr>
          <w:rFonts w:ascii="Arial" w:hAnsi="Arial" w:eastAsia="Arial" w:cs="Arial"/>
          <w:sz w:val="10"/>
          <w:szCs w:val="10"/>
          <w:color w:val="B03040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0"/>
          <w:szCs w:val="10"/>
          <w:color w:val="B03040"/>
          <w:position w:val="1"/>
        </w:rPr>
        <w:t>weight</w:t>
      </w:r>
      <w:r>
        <w:rPr>
          <w:rFonts w:ascii="Arial" w:hAnsi="Arial" w:eastAsia="Arial" w:cs="Arial"/>
          <w:sz w:val="10"/>
          <w:szCs w:val="10"/>
          <w:color w:val="B03040"/>
          <w:spacing w:val="13"/>
          <w:position w:val="1"/>
        </w:rPr>
        <w:t>.</w:t>
      </w:r>
    </w:p>
    <w:p>
      <w:pPr>
        <w:ind w:left="647"/>
        <w:spacing w:before="129" w:line="216" w:lineRule="auto"/>
        <w:rPr>
          <w:rFonts w:ascii="Arial" w:hAnsi="Arial" w:eastAsia="Arial" w:cs="Arial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3"/>
        </w:rPr>
        <w:t>◎</w:t>
      </w:r>
      <w:r>
        <w:rPr>
          <w:rFonts w:ascii="SimSun" w:hAnsi="SimSun" w:eastAsia="SimSun" w:cs="SimSun"/>
          <w:sz w:val="9"/>
          <w:szCs w:val="9"/>
          <w:spacing w:val="-2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European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Food Safety Authority,2014</w:t>
      </w:r>
    </w:p>
    <w:p>
      <w:pPr>
        <w:pStyle w:val="BodyText"/>
        <w:ind w:left="1967"/>
        <w:spacing w:before="240" w:line="222" w:lineRule="auto"/>
        <w:rPr/>
      </w:pPr>
      <w:r>
        <w:rPr>
          <w:b/>
          <w:bCs/>
          <w:spacing w:val="1"/>
        </w:rPr>
        <w:t>图源：欧洲食品安全局</w:t>
      </w:r>
    </w:p>
    <w:p>
      <w:pPr>
        <w:pStyle w:val="BodyText"/>
        <w:ind w:left="164"/>
        <w:spacing w:before="186" w:line="215" w:lineRule="auto"/>
        <w:outlineLvl w:val="0"/>
        <w:rPr/>
      </w:pPr>
      <w:r>
        <w:rPr>
          <w:rFonts w:ascii="SimSun" w:hAnsi="SimSun" w:eastAsia="SimSun" w:cs="SimSun"/>
          <w:b/>
          <w:bCs/>
          <w:spacing w:val="1"/>
        </w:rPr>
        <w:t>3.</w:t>
      </w:r>
      <w:r>
        <w:rPr>
          <w:b/>
          <w:bCs/>
          <w:spacing w:val="1"/>
        </w:rPr>
        <w:t>想通过白芸豆阻断淀粉吸收，不靠谱</w:t>
      </w:r>
    </w:p>
    <w:p>
      <w:pPr>
        <w:pStyle w:val="BodyText"/>
        <w:ind w:right="75" w:firstLine="163"/>
        <w:spacing w:before="195" w:line="327" w:lineRule="auto"/>
        <w:rPr/>
      </w:pPr>
      <w:r>
        <w:rPr>
          <w:spacing w:val="3"/>
        </w:rPr>
        <w:t>尽管白芸豆提取物的减肥效果存在争议，但将白芸豆作为一种食物，替代部分高</w:t>
      </w:r>
      <w:r>
        <w:rPr>
          <w:rFonts w:ascii="SimSun" w:hAnsi="SimSun" w:eastAsia="SimSun" w:cs="SimSun"/>
        </w:rPr>
        <w:t>Gl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spacing w:val="3"/>
        </w:rPr>
        <w:t>的精制碳水化合物，确实具有一定的</w:t>
      </w:r>
      <w:r>
        <w:rPr/>
        <w:t xml:space="preserve"> </w:t>
      </w:r>
      <w:r>
        <w:rPr>
          <w:spacing w:val="-1"/>
        </w:rPr>
        <w:t>辅助减肥作用，只是这种作用主要来源于其营养特性，而非所谓的“阻断效应”。</w:t>
      </w:r>
    </w:p>
    <w:p>
      <w:pPr>
        <w:pStyle w:val="BodyText"/>
        <w:ind w:right="78" w:firstLine="163"/>
        <w:spacing w:before="149" w:line="327" w:lineRule="auto"/>
        <w:rPr/>
      </w:pPr>
      <w:r>
        <w:rPr>
          <w:spacing w:val="3"/>
        </w:rPr>
        <w:t>首先，白芸豆富含膳食纤维，能够增加饱腹感，减少食物摄入。其次，白芸豆的低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</w:rPr>
        <w:t>GI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3"/>
        </w:rPr>
        <w:t>特性有助于稳</w:t>
      </w:r>
      <w:r>
        <w:rPr>
          <w:spacing w:val="2"/>
        </w:rPr>
        <w:t>定血糖，避免因血糖</w:t>
      </w:r>
      <w:r>
        <w:rPr/>
        <w:t xml:space="preserve"> </w:t>
      </w:r>
      <w:r>
        <w:rPr>
          <w:spacing w:val="3"/>
        </w:rPr>
        <w:t>波动引起的过度饥饿和进食。此外，白芸豆</w:t>
      </w:r>
      <w:r>
        <w:rPr>
          <w:spacing w:val="2"/>
        </w:rPr>
        <w:t>中丰富的蛋白质也有助于增加饱腹感和维持肌肉量，这对于健康减重非常重要。</w:t>
      </w:r>
    </w:p>
    <w:p>
      <w:pPr>
        <w:pStyle w:val="BodyText"/>
        <w:ind w:right="82" w:firstLine="163"/>
        <w:spacing w:before="146" w:line="327" w:lineRule="auto"/>
        <w:rPr/>
      </w:pPr>
      <w:r>
        <w:rPr>
          <w:spacing w:val="3"/>
        </w:rPr>
        <w:t>因此，将白芸豆作为日常饮食的一部分，替代部分高</w:t>
      </w:r>
      <w:r>
        <w:rPr>
          <w:rFonts w:ascii="Arial" w:hAnsi="Arial" w:eastAsia="Arial" w:cs="Arial"/>
        </w:rPr>
        <w:t>GI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3"/>
        </w:rPr>
        <w:t>的精制碳水化合物，确实可能对体重管理有所帮助。但如果</w:t>
      </w:r>
      <w:r>
        <w:rPr>
          <w:spacing w:val="2"/>
        </w:rPr>
        <w:t>期望</w:t>
      </w:r>
      <w:r>
        <w:rPr/>
        <w:t xml:space="preserve"> </w:t>
      </w:r>
      <w:r>
        <w:rPr>
          <w:spacing w:val="-2"/>
        </w:rPr>
        <w:t>通过食用白芸豆来“阻断淀粉”,实现“吃了不吸收”的效果</w:t>
      </w:r>
      <w:r>
        <w:rPr>
          <w:spacing w:val="-3"/>
        </w:rPr>
        <w:t>，那就有些过于理想化了。</w:t>
      </w:r>
    </w:p>
    <w:p>
      <w:pPr>
        <w:pStyle w:val="BodyText"/>
        <w:ind w:left="164"/>
        <w:spacing w:before="143" w:line="224" w:lineRule="auto"/>
        <w:rPr/>
      </w:pPr>
      <w:r>
        <w:rPr>
          <w:b/>
          <w:bCs/>
          <w:spacing w:val="2"/>
        </w:rPr>
        <w:t>白芸豆怎么吃更好?</w:t>
      </w:r>
    </w:p>
    <w:p>
      <w:pPr>
        <w:pStyle w:val="BodyText"/>
        <w:ind w:left="164"/>
        <w:spacing w:before="189" w:line="222" w:lineRule="auto"/>
        <w:outlineLvl w:val="0"/>
        <w:rPr/>
      </w:pPr>
      <w:r>
        <w:rPr>
          <w:rFonts w:ascii="SimSun" w:hAnsi="SimSun" w:eastAsia="SimSun" w:cs="SimSun"/>
          <w:b/>
          <w:bCs/>
          <w:spacing w:val="2"/>
        </w:rPr>
        <w:t>1.</w:t>
      </w:r>
      <w:r>
        <w:rPr>
          <w:b/>
          <w:bCs/>
          <w:spacing w:val="2"/>
        </w:rPr>
        <w:t>适合的烹调方式</w:t>
      </w:r>
    </w:p>
    <w:p>
      <w:pPr>
        <w:pStyle w:val="BodyText"/>
        <w:ind w:right="52" w:firstLine="163"/>
        <w:spacing w:before="191" w:line="327" w:lineRule="auto"/>
        <w:rPr/>
      </w:pPr>
      <w:r>
        <w:rPr>
          <w:spacing w:val="3"/>
        </w:rPr>
        <w:t>白芸豆皮厚，如果处理不好口感不易被接受。可以考虑提前浸泡，</w:t>
      </w:r>
      <w:r>
        <w:rPr>
          <w:spacing w:val="2"/>
        </w:rPr>
        <w:t>用电压力锅进行煮炖。做软的白芸豆，可以弄成泥和面</w:t>
      </w:r>
      <w:r>
        <w:rPr/>
        <w:t xml:space="preserve"> </w:t>
      </w:r>
      <w:r>
        <w:rPr>
          <w:spacing w:val="2"/>
        </w:rPr>
        <w:t>粉混合做成馒头等主食，也可以做成沙拉，也可以适当调味做成清爽的凉菜。</w:t>
      </w:r>
    </w:p>
    <w:p>
      <w:pPr>
        <w:pStyle w:val="BodyText"/>
        <w:ind w:right="48" w:firstLine="163"/>
        <w:spacing w:before="145" w:line="339" w:lineRule="auto"/>
        <w:rPr/>
      </w:pPr>
      <w:r>
        <w:rPr>
          <w:spacing w:val="3"/>
        </w:rPr>
        <w:t>白芸豆的烹调方式多种多样，但需要注意的是，生的白芸豆含有一种叫做植</w:t>
      </w:r>
      <w:r>
        <w:rPr>
          <w:spacing w:val="2"/>
        </w:rPr>
        <w:t>物细胞凝集素的有毒物质，必须经过充分浸泡</w:t>
      </w:r>
      <w:r>
        <w:rPr/>
        <w:t xml:space="preserve"> </w:t>
      </w:r>
      <w:r>
        <w:rPr>
          <w:spacing w:val="1"/>
        </w:rPr>
        <w:t>和彻底煮熟才能安全食用。</w:t>
      </w:r>
    </w:p>
    <w:p>
      <w:pPr>
        <w:pStyle w:val="BodyText"/>
        <w:ind w:left="164"/>
        <w:spacing w:before="133" w:line="223" w:lineRule="auto"/>
        <w:outlineLvl w:val="0"/>
        <w:rPr/>
      </w:pPr>
      <w:r>
        <w:rPr>
          <w:rFonts w:ascii="SimSun" w:hAnsi="SimSun" w:eastAsia="SimSun" w:cs="SimSun"/>
          <w:b/>
          <w:bCs/>
          <w:spacing w:val="3"/>
        </w:rPr>
        <w:t>2.</w:t>
      </w:r>
      <w:r>
        <w:rPr>
          <w:b/>
          <w:bCs/>
          <w:spacing w:val="3"/>
        </w:rPr>
        <w:t>建议摄入量</w:t>
      </w:r>
    </w:p>
    <w:p>
      <w:pPr>
        <w:pStyle w:val="BodyText"/>
        <w:ind w:right="46" w:firstLine="163"/>
        <w:spacing w:before="192" w:line="320" w:lineRule="auto"/>
        <w:jc w:val="both"/>
        <w:rPr>
          <w:sz w:val="10"/>
          <w:szCs w:val="10"/>
        </w:rPr>
      </w:pPr>
      <w:r>
        <w:rPr>
          <w:spacing w:val="7"/>
        </w:rPr>
        <w:t>根据《中国居民膳食指南(2022版)》,成年人每天应摄入50~150克全谷物和杂豆类。但根据《2018年中国健康与营</w:t>
      </w:r>
      <w:r>
        <w:rPr>
          <w:spacing w:val="15"/>
          <w:w w:val="101"/>
        </w:rPr>
        <w:t xml:space="preserve"> </w:t>
      </w:r>
      <w:r>
        <w:rPr>
          <w:spacing w:val="4"/>
        </w:rPr>
        <w:t>养调查》数据显示，目前我国成年人摄入均值不足30克[5],多数都属</w:t>
      </w:r>
      <w:r>
        <w:rPr>
          <w:spacing w:val="3"/>
        </w:rPr>
        <w:t>于摄入不足的状态，建议适当增加白芸豆等粗杂粮的比</w:t>
      </w:r>
      <w:r>
        <w:rPr/>
        <w:t xml:space="preserve">  </w:t>
      </w:r>
      <w:r>
        <w:rPr>
          <w:sz w:val="10"/>
          <w:szCs w:val="10"/>
          <w:spacing w:val="-8"/>
        </w:rPr>
        <w:t>例。</w:t>
      </w:r>
    </w:p>
    <w:p>
      <w:pPr>
        <w:pStyle w:val="BodyText"/>
        <w:ind w:firstLine="456"/>
        <w:spacing w:before="81" w:line="174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285866</wp:posOffset>
                </wp:positionH>
                <wp:positionV relativeFrom="paragraph">
                  <wp:posOffset>548634</wp:posOffset>
                </wp:positionV>
                <wp:extent cx="211454" cy="109854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285866" y="548634"/>
                          <a:ext cx="211454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7" w:line="236" w:lineRule="auto"/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5"/>
                              </w:rPr>
                              <w:t>比例/%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22.5092pt;margin-top:43.1996pt;mso-position-vertical-relative:text;mso-position-horizontal-relative:text;width:16.65pt;height:8.6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7" w:line="236" w:lineRule="auto"/>
                        <w:rPr>
                          <w:rFonts w:ascii="SimSun" w:hAnsi="SimSun" w:eastAsia="SimSun" w:cs="SimSun"/>
                          <w:sz w:val="9"/>
                          <w:szCs w:val="9"/>
                        </w:rPr>
                      </w:pP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5"/>
                        </w:rPr>
                        <w:t>比例/%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4"/>
        </w:rPr>
        <w:pict>
          <v:group id="_x0000_s6" style="mso-position-vertical-relative:line;mso-position-horizontal-relative:char;width:184.15pt;height:87.25pt;" filled="false" stroked="false" coordsize="3682,1745" coordorigin="0,0">
            <v:shape id="_x0000_s8" style="position:absolute;left:0;top:0;width:3682;height:1660;" filled="false" stroked="false" type="#_x0000_t75">
              <v:imagedata o:title="" r:id="rId7"/>
            </v:shape>
            <v:shape id="_x0000_s10" style="position:absolute;left:234;top:150;width:2592;height:16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54" w:type="dxa"/>
                      <w:tblInd w:w="414" w:type="dxa"/>
                      <w:tblLayout w:type="fixed"/>
                    </w:tblPr>
                    <w:tblGrid>
                      <w:gridCol w:w="403"/>
                      <w:gridCol w:w="641"/>
                      <w:gridCol w:w="410"/>
                    </w:tblGrid>
                    <w:tr>
                      <w:trPr>
                        <w:trHeight w:val="1012" w:hRule="atLeast"/>
                      </w:trPr>
                      <w:tc>
                        <w:tcPr>
                          <w:tcW w:w="403" w:type="dxa"/>
                          <w:vAlign w:val="top"/>
                        </w:tcPr>
                        <w:p>
                          <w:pPr>
                            <w:ind w:left="14"/>
                            <w:spacing w:before="36" w:line="196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color w:val="407060"/>
                              <w:spacing w:val="2"/>
                            </w:rPr>
                            <w:t>45</w:t>
                          </w:r>
                        </w:p>
                        <w:p>
                          <w:pPr>
                            <w:ind w:left="14"/>
                            <w:spacing w:before="2" w:line="189" w:lineRule="auto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2"/>
                            </w:rPr>
                            <w:t>8.6</w:t>
                          </w:r>
                        </w:p>
                        <w:p>
                          <w:pPr>
                            <w:ind w:left="3"/>
                            <w:spacing w:before="87" w:line="189" w:lineRule="auto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2"/>
                            </w:rPr>
                            <w:t>16.7</w:t>
                          </w:r>
                        </w:p>
                        <w:p>
                          <w:pPr>
                            <w:spacing w:line="4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29" w:line="189" w:lineRule="auto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1"/>
                            </w:rPr>
                            <w:t>66.4</w:t>
                          </w:r>
                        </w:p>
                      </w:tc>
                      <w:tc>
                        <w:tcPr>
                          <w:tcW w:w="641" w:type="dxa"/>
                          <w:vAlign w:val="top"/>
                        </w:tcPr>
                        <w:p>
                          <w:pPr>
                            <w:ind w:left="255" w:right="243"/>
                            <w:spacing w:line="174" w:lineRule="auto"/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  <w:color w:val="606060"/>
                              <w:spacing w:val="-3"/>
                            </w:rPr>
                            <w:t>5.8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  <w:color w:val="606060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  <w:color w:val="FFFFFF"/>
                              <w:spacing w:val="1"/>
                            </w:rPr>
                            <w:t>4.4</w:t>
                          </w:r>
                        </w:p>
                        <w:p>
                          <w:pPr>
                            <w:ind w:left="255"/>
                            <w:spacing w:before="6" w:line="189" w:lineRule="auto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1"/>
                            </w:rPr>
                            <w:t>9.6</w:t>
                          </w:r>
                        </w:p>
                        <w:p>
                          <w:pPr>
                            <w:ind w:left="238"/>
                            <w:spacing w:before="87" w:line="189" w:lineRule="auto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2"/>
                            </w:rPr>
                            <w:t>16.3</w:t>
                          </w:r>
                        </w:p>
                        <w:p>
                          <w:pPr>
                            <w:spacing w:line="4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1"/>
                            <w:spacing w:before="28" w:line="157" w:lineRule="auto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1"/>
                            </w:rPr>
                            <w:t>63.9</w:t>
                          </w:r>
                        </w:p>
                      </w:tc>
                      <w:tc>
                        <w:tcPr>
                          <w:tcW w:w="410" w:type="dxa"/>
                          <w:vAlign w:val="top"/>
                        </w:tcPr>
                        <w:p>
                          <w:pPr>
                            <w:ind w:left="257"/>
                            <w:spacing w:before="20" w:line="177" w:lineRule="auto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color w:val="506050"/>
                              <w:spacing w:val="-1"/>
                            </w:rPr>
                            <w:t>6.2</w:t>
                          </w:r>
                        </w:p>
                        <w:p>
                          <w:pPr>
                            <w:ind w:right="15"/>
                            <w:spacing w:line="193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1"/>
                              <w:szCs w:val="11"/>
                              <w:color w:val="FFFFFF"/>
                              <w:spacing w:val="-1"/>
                            </w:rPr>
                            <w:t>5.6</w:t>
                          </w:r>
                        </w:p>
                        <w:p>
                          <w:pPr>
                            <w:ind w:left="257"/>
                            <w:spacing w:before="8" w:line="189" w:lineRule="auto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1"/>
                            </w:rPr>
                            <w:t>9.8</w:t>
                          </w:r>
                        </w:p>
                        <w:p>
                          <w:pPr>
                            <w:spacing w:before="94" w:line="189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3"/>
                            </w:rPr>
                            <w:t>16.8</w:t>
                          </w:r>
                        </w:p>
                        <w:p>
                          <w:pPr>
                            <w:spacing w:line="42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28" w:line="61" w:lineRule="exact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0"/>
                              <w:szCs w:val="10"/>
                              <w:spacing w:val="-1"/>
                              <w:position w:val="-2"/>
                            </w:rPr>
                            <w:t>61.6</w:t>
                          </w:r>
                        </w:p>
                      </w:tc>
                    </w:tr>
                  </w:tbl>
                  <w:p>
                    <w:pPr>
                      <w:ind w:left="20"/>
                      <w:spacing w:before="80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20</w:t>
                    </w:r>
                  </w:p>
                  <w:p>
                    <w:pPr>
                      <w:ind w:left="25"/>
                      <w:spacing w:before="56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3"/>
                      </w:rPr>
                      <w:t>10</w:t>
                    </w:r>
                  </w:p>
                  <w:p>
                    <w:pPr>
                      <w:ind w:left="73"/>
                      <w:spacing w:before="58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0</w:t>
                    </w:r>
                  </w:p>
                  <w:p>
                    <w:pPr>
                      <w:ind w:left="2317"/>
                      <w:spacing w:before="15" w:line="227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7"/>
                      </w:rPr>
                      <w:t>80岁~</w:t>
                    </w:r>
                  </w:p>
                </w:txbxContent>
              </v:textbox>
            </v:shape>
            <v:shape id="_x0000_s12" style="position:absolute;left:3079;top:622;width:500;height:8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34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1"/>
                      </w:rPr>
                      <w:t>■150g~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■100~149g</w:t>
                    </w:r>
                  </w:p>
                  <w:p>
                    <w:pPr>
                      <w:ind w:left="20" w:right="106"/>
                      <w:spacing w:before="30" w:line="332" w:lineRule="auto"/>
                      <w:jc w:val="both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color w:val="608060"/>
                        <w:spacing w:val="-5"/>
                      </w:rPr>
                      <w:t>■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color w:val="608060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5"/>
                      </w:rPr>
                      <w:t>50~99g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3"/>
                      </w:rPr>
                      <w:t>■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3"/>
                      </w:rPr>
                      <w:t>1~49g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C05030"/>
                        <w:spacing w:val="-9"/>
                      </w:rPr>
                      <w:t>■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9"/>
                      </w:rPr>
                      <w:t>0g</w:t>
                    </w:r>
                  </w:p>
                </w:txbxContent>
              </v:textbox>
            </v:shape>
            <v:shape id="_x0000_s14" style="position:absolute;left:566;top:1627;width:1656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5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4"/>
                      </w:rPr>
                      <w:t>18~44岁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4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4"/>
                      </w:rPr>
                      <w:t>45~59岁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5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4"/>
                      </w:rPr>
                      <w:t>60~79岁</w:t>
                    </w:r>
                  </w:p>
                </w:txbxContent>
              </v:textbox>
            </v:shape>
            <v:shape id="_x0000_s16" style="position:absolute;left:198;top:130;width:185;height:10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2"/>
                      </w:rPr>
                      <w:t>100</w:t>
                    </w:r>
                  </w:p>
                  <w:p>
                    <w:pPr>
                      <w:ind w:left="56"/>
                      <w:spacing w:before="58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90</w:t>
                    </w:r>
                  </w:p>
                  <w:p>
                    <w:pPr>
                      <w:ind w:left="56"/>
                      <w:spacing w:before="57" w:line="191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80</w:t>
                    </w:r>
                  </w:p>
                  <w:p>
                    <w:pPr>
                      <w:ind w:left="62"/>
                      <w:spacing w:before="52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70</w:t>
                    </w:r>
                  </w:p>
                  <w:p>
                    <w:pPr>
                      <w:ind w:left="56"/>
                      <w:spacing w:before="47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60</w:t>
                    </w:r>
                  </w:p>
                  <w:p>
                    <w:pPr>
                      <w:ind w:left="62"/>
                      <w:spacing w:before="54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50</w:t>
                    </w:r>
                  </w:p>
                  <w:p>
                    <w:pPr>
                      <w:ind w:left="62"/>
                      <w:spacing w:before="27" w:line="196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56"/>
                      <w:spacing w:before="45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30</w:t>
                    </w:r>
                  </w:p>
                </w:txbxContent>
              </v:textbox>
            </v:shape>
            <v:shape id="_x0000_s18" style="position:absolute;left:2551;top:156;width:205;height:4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/>
                      <w:spacing w:before="20" w:line="131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color w:val="205038"/>
                        <w:spacing w:val="-4"/>
                        <w:position w:val="-2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FFFFFF"/>
                        <w:spacing w:val="-4"/>
                        <w:position w:val="4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em w:val="dot"/>
                        <w:color w:val="FFFFFF"/>
                        <w:spacing w:val="-4"/>
                        <w:position w:val="4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05038"/>
                        <w:spacing w:val="-4"/>
                        <w:position w:val="-2"/>
                      </w:rPr>
                      <w:t>7</w:t>
                    </w:r>
                  </w:p>
                  <w:p>
                    <w:pPr>
                      <w:ind w:left="20"/>
                      <w:spacing w:before="52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2"/>
                      </w:rPr>
                      <w:t>12.0</w:t>
                    </w:r>
                  </w:p>
                  <w:p>
                    <w:pPr>
                      <w:ind w:left="20"/>
                      <w:spacing w:before="83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2"/>
                      </w:rPr>
                      <w:t>13.5</w:t>
                    </w:r>
                  </w:p>
                </w:txbxContent>
              </v:textbox>
            </v:shape>
            <v:shape id="_x0000_s20" style="position:absolute;left:2551;top:1068;width:212;height: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65.2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120"/>
        <w:spacing w:before="109" w:line="224" w:lineRule="auto"/>
        <w:rPr>
          <w:sz w:val="9"/>
          <w:szCs w:val="9"/>
        </w:rPr>
      </w:pPr>
      <w:r>
        <w:rPr>
          <w:sz w:val="9"/>
          <w:szCs w:val="9"/>
          <w:spacing w:val="-2"/>
        </w:rPr>
        <w:t>图1-20</w:t>
      </w:r>
      <w:r>
        <w:rPr>
          <w:sz w:val="9"/>
          <w:szCs w:val="9"/>
          <w:spacing w:val="29"/>
          <w:w w:val="101"/>
        </w:rPr>
        <w:t xml:space="preserve"> </w:t>
      </w:r>
      <w:r>
        <w:rPr>
          <w:sz w:val="9"/>
          <w:szCs w:val="9"/>
          <w:spacing w:val="-2"/>
        </w:rPr>
        <w:t>我国成年居民不同年龄组全谷物和杂</w:t>
      </w:r>
      <w:r>
        <w:rPr>
          <w:sz w:val="9"/>
          <w:szCs w:val="9"/>
          <w:spacing w:val="-3"/>
        </w:rPr>
        <w:t>豆摄入水平分布</w:t>
      </w:r>
    </w:p>
    <w:p>
      <w:pPr>
        <w:pStyle w:val="BodyText"/>
        <w:ind w:left="1358"/>
        <w:spacing w:before="49" w:line="224" w:lineRule="auto"/>
        <w:rPr>
          <w:rFonts w:ascii="SimSun" w:hAnsi="SimSun" w:eastAsia="SimSun" w:cs="SimSun"/>
          <w:sz w:val="9"/>
          <w:szCs w:val="9"/>
        </w:rPr>
      </w:pPr>
      <w:r>
        <w:rPr>
          <w:sz w:val="9"/>
          <w:szCs w:val="9"/>
          <w:spacing w:val="-3"/>
        </w:rPr>
        <w:t>资料来源：中国健康与营养调查</w:t>
      </w:r>
      <w:r>
        <w:rPr>
          <w:rFonts w:ascii="SimSun" w:hAnsi="SimSun" w:eastAsia="SimSun" w:cs="SimSun"/>
          <w:sz w:val="9"/>
          <w:szCs w:val="9"/>
          <w:spacing w:val="-3"/>
        </w:rPr>
        <w:t>CHNS(2018)。</w:t>
      </w:r>
    </w:p>
    <w:p>
      <w:pPr>
        <w:pStyle w:val="BodyText"/>
        <w:ind w:right="42" w:firstLine="163"/>
        <w:spacing w:before="238" w:line="336" w:lineRule="auto"/>
        <w:rPr/>
      </w:pPr>
      <w:r>
        <w:rPr>
          <w:spacing w:val="2"/>
        </w:rPr>
        <w:t>对于想要通过食用白芸豆辅助控制体重的朋友，可以将白芸豆作为主食的一部分，替代部分精制米面。例如，</w:t>
      </w:r>
      <w:r>
        <w:rPr>
          <w:spacing w:val="2"/>
        </w:rPr>
        <w:t xml:space="preserve"> </w:t>
      </w:r>
      <w:r>
        <w:rPr>
          <w:spacing w:val="2"/>
        </w:rPr>
        <w:t>一</w:t>
      </w:r>
      <w:r>
        <w:rPr>
          <w:spacing w:val="1"/>
        </w:rPr>
        <w:t>餐中可以</w:t>
      </w:r>
      <w:r>
        <w:rPr/>
        <w:t xml:space="preserve"> </w:t>
      </w:r>
      <w:r>
        <w:rPr>
          <w:spacing w:val="3"/>
        </w:rPr>
        <w:t>减少1/3的米饭量，用适量的白芸豆代替，这样既能保证能量摄入，又能提高膳食的营养质量。</w:t>
      </w:r>
    </w:p>
    <w:p>
      <w:pPr>
        <w:pStyle w:val="BodyText"/>
        <w:ind w:right="50" w:firstLine="163"/>
        <w:spacing w:before="138" w:line="336" w:lineRule="auto"/>
        <w:rPr/>
      </w:pPr>
      <w:r>
        <w:rPr>
          <w:spacing w:val="2"/>
        </w:rPr>
        <w:t>需要注意的是，虽然白芸豆营养丰富，但也不宜过量食用。</w:t>
      </w:r>
      <w:r>
        <w:rPr>
          <w:spacing w:val="18"/>
        </w:rPr>
        <w:t xml:space="preserve"> </w:t>
      </w:r>
      <w:r>
        <w:rPr>
          <w:spacing w:val="1"/>
        </w:rPr>
        <w:t>一方面，豆类食物含有一定量的植酸，过量摄入可能影响矿物</w:t>
      </w:r>
      <w:r>
        <w:rPr/>
        <w:t xml:space="preserve"> </w:t>
      </w:r>
      <w:r>
        <w:rPr>
          <w:spacing w:val="2"/>
        </w:rPr>
        <w:t>质的吸收；另一方面，豆类中丰富的膳食纤维如果摄入过多，可能导致胃肠不适、胀气等问题。</w:t>
      </w:r>
    </w:p>
    <w:p>
      <w:pPr>
        <w:pStyle w:val="BodyText"/>
        <w:ind w:left="164"/>
        <w:spacing w:before="147" w:line="222" w:lineRule="auto"/>
        <w:outlineLvl w:val="0"/>
        <w:rPr/>
      </w:pPr>
      <w:r>
        <w:rPr>
          <w:rFonts w:ascii="SimSun" w:hAnsi="SimSun" w:eastAsia="SimSun" w:cs="SimSun"/>
          <w:b/>
          <w:bCs/>
          <w:spacing w:val="2"/>
        </w:rPr>
        <w:t>3.</w:t>
      </w:r>
      <w:r>
        <w:rPr>
          <w:b/>
          <w:bCs/>
          <w:spacing w:val="2"/>
        </w:rPr>
        <w:t>这3类特殊人群需要注意</w:t>
      </w:r>
    </w:p>
    <w:p>
      <w:pPr>
        <w:pStyle w:val="BodyText"/>
        <w:ind w:left="163"/>
        <w:spacing w:before="183" w:line="215" w:lineRule="auto"/>
        <w:rPr/>
      </w:pPr>
      <w:r>
        <w:rPr>
          <w:spacing w:val="2"/>
        </w:rPr>
        <w:t>虽然白芸豆对大多数人来说是安全健康的食物，但某些特殊人群在食用时需要格外注意：</w:t>
      </w:r>
    </w:p>
    <w:p>
      <w:pPr>
        <w:pStyle w:val="BodyText"/>
        <w:ind w:right="78" w:firstLine="163"/>
        <w:spacing w:before="197" w:line="327" w:lineRule="auto"/>
        <w:rPr/>
      </w:pPr>
      <w:r>
        <w:rPr>
          <w:spacing w:val="5"/>
        </w:rPr>
        <w:t>痛风患者：白芸豆中含有一定量的嘌呤，每100克干白芸豆中嘌呤含量约为125毫克[6],嘌</w:t>
      </w:r>
      <w:r>
        <w:rPr>
          <w:spacing w:val="4"/>
        </w:rPr>
        <w:t>呤含量较高。痛风患者在急</w:t>
      </w:r>
      <w:r>
        <w:rPr/>
        <w:t xml:space="preserve"> </w:t>
      </w:r>
      <w:r>
        <w:rPr>
          <w:spacing w:val="2"/>
        </w:rPr>
        <w:t>性发作期应避免食用，缓解期也应适量控制。</w:t>
      </w:r>
    </w:p>
    <w:p>
      <w:pPr>
        <w:pStyle w:val="BodyText"/>
        <w:ind w:left="163"/>
        <w:spacing w:before="140" w:line="215" w:lineRule="auto"/>
        <w:rPr/>
      </w:pPr>
      <w:r>
        <w:rPr>
          <w:spacing w:val="2"/>
        </w:rPr>
        <w:t>肾功能不全患者：白芸豆蛋白质含量较高，肾功能不全的患者需要控制蛋白质摄入，应在医生指导下适量食用。</w:t>
      </w:r>
    </w:p>
    <w:p>
      <w:pPr>
        <w:pStyle w:val="BodyText"/>
        <w:ind w:right="42" w:firstLine="163"/>
        <w:spacing w:before="197" w:line="319" w:lineRule="auto"/>
        <w:rPr/>
      </w:pPr>
      <w:r>
        <w:rPr>
          <w:spacing w:val="3"/>
        </w:rPr>
        <w:t>肠胃敏感人群：白芸豆中的膳食纤维和某些寡糖可能导致肠胃敏感人群出现胀气、腹泻</w:t>
      </w:r>
      <w:r>
        <w:rPr>
          <w:spacing w:val="2"/>
        </w:rPr>
        <w:t>等不适症状，建议从小量开始，逐</w:t>
      </w:r>
      <w:r>
        <w:rPr/>
        <w:t xml:space="preserve"> </w:t>
      </w:r>
      <w:r>
        <w:rPr>
          <w:spacing w:val="1"/>
        </w:rPr>
        <w:t>渐增加食用量，观察身体反应。</w:t>
      </w:r>
    </w:p>
    <w:p>
      <w:pPr>
        <w:pStyle w:val="BodyText"/>
        <w:ind w:right="43" w:firstLine="163"/>
        <w:spacing w:before="148" w:line="335" w:lineRule="auto"/>
        <w:rPr/>
      </w:pPr>
      <w:r>
        <w:rPr>
          <w:spacing w:val="3"/>
        </w:rPr>
        <w:t>总的来说，白芸豆是一种营养丰富、健康有益的食物，适量食用可以为日常饮食增添</w:t>
      </w:r>
      <w:r>
        <w:rPr>
          <w:spacing w:val="2"/>
        </w:rPr>
        <w:t>多样性和营养价值。虽然它不是减肥</w:t>
      </w:r>
      <w:r>
        <w:rPr/>
        <w:t xml:space="preserve"> </w:t>
      </w:r>
      <w:r>
        <w:rPr>
          <w:spacing w:val="2"/>
        </w:rPr>
        <w:t>的“神奇药丸”,但作为均衡饮食的一部分，确</w:t>
      </w:r>
      <w:r>
        <w:rPr>
          <w:spacing w:val="1"/>
        </w:rPr>
        <w:t>实能够帮助管理体重。无论是追求健康饮食，还是关注体重，白芸豆都值得一</w:t>
      </w:r>
    </w:p>
    <w:p>
      <w:pPr>
        <w:pStyle w:val="BodyText"/>
        <w:spacing w:before="1" w:line="190" w:lineRule="auto"/>
        <w:rPr>
          <w:sz w:val="9"/>
          <w:szCs w:val="9"/>
        </w:rPr>
      </w:pPr>
      <w:r>
        <w:rPr>
          <w:sz w:val="9"/>
          <w:szCs w:val="9"/>
          <w:spacing w:val="-4"/>
        </w:rPr>
        <w:t>试。</w:t>
      </w:r>
    </w:p>
    <w:sectPr>
      <w:type w:val="continuous"/>
      <w:pgSz w:w="4872" w:h="31680"/>
      <w:pgMar w:top="1" w:right="138" w:bottom="1" w:left="141" w:header="0" w:footer="0" w:gutter="0"/>
      <w:cols w:equalWidth="0" w:num="1">
        <w:col w:w="459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8"/>
      <w:szCs w:val="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2025-08-15T09:29:51</vt:filetime>
  </property>
  <property fmtid="{D5CDD505-2E9C-101B-9397-08002B2CF9AE}" pid="4" name="UsrData">
    <vt:lpwstr>689e8d7a8e6006001f75c6c8wl</vt:lpwstr>
  </property>
</Properties>
</file>