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79A63" w14:textId="77777777" w:rsidR="000F2786" w:rsidRPr="00750406" w:rsidRDefault="000F2786" w:rsidP="00002044">
      <w:pPr>
        <w:jc w:val="center"/>
        <w:rPr>
          <w:rFonts w:ascii="Times New Roman" w:hAnsi="Times New Roman" w:cs="Times New Roman"/>
          <w:b/>
          <w:bCs/>
        </w:rPr>
      </w:pPr>
      <w:r w:rsidRPr="00750406">
        <w:rPr>
          <w:rFonts w:ascii="Times New Roman" w:hAnsi="Times New Roman" w:cs="Times New Roman"/>
          <w:b/>
          <w:bCs/>
        </w:rPr>
        <w:t>CarePoint Health Services | GRC Assessment</w:t>
      </w:r>
    </w:p>
    <w:p w14:paraId="4F7A92D1" w14:textId="77777777" w:rsidR="000F2786" w:rsidRPr="00750406" w:rsidRDefault="000F2786" w:rsidP="00002044">
      <w:pPr>
        <w:jc w:val="center"/>
        <w:rPr>
          <w:rFonts w:ascii="Times New Roman" w:hAnsi="Times New Roman" w:cs="Times New Roman"/>
          <w:b/>
          <w:bCs/>
        </w:rPr>
      </w:pPr>
      <w:r w:rsidRPr="00750406">
        <w:rPr>
          <w:rFonts w:ascii="Times New Roman" w:hAnsi="Times New Roman" w:cs="Times New Roman"/>
          <w:b/>
          <w:bCs/>
        </w:rPr>
        <w:t>CarePoint Health Services</w:t>
      </w:r>
    </w:p>
    <w:p w14:paraId="2C5F4760" w14:textId="77777777" w:rsidR="000F2786" w:rsidRPr="00750406" w:rsidRDefault="000F2786" w:rsidP="00002044">
      <w:pPr>
        <w:jc w:val="center"/>
        <w:rPr>
          <w:rFonts w:ascii="Times New Roman" w:hAnsi="Times New Roman" w:cs="Times New Roman"/>
          <w:b/>
          <w:bCs/>
        </w:rPr>
      </w:pPr>
      <w:r w:rsidRPr="00750406">
        <w:rPr>
          <w:rFonts w:ascii="Times New Roman" w:hAnsi="Times New Roman" w:cs="Times New Roman"/>
          <w:b/>
          <w:bCs/>
        </w:rPr>
        <w:t>GRC Security Risk &amp; Compliance Assessment</w:t>
      </w:r>
    </w:p>
    <w:p w14:paraId="5E41F37B" w14:textId="77777777" w:rsidR="000F2786" w:rsidRPr="00002044" w:rsidRDefault="000F2786" w:rsidP="00002044">
      <w:pPr>
        <w:jc w:val="center"/>
        <w:rPr>
          <w:rFonts w:ascii="Times New Roman" w:hAnsi="Times New Roman" w:cs="Times New Roman"/>
          <w:b/>
          <w:bCs/>
          <w:i/>
          <w:iCs/>
          <w:sz w:val="18"/>
          <w:szCs w:val="18"/>
        </w:rPr>
      </w:pPr>
      <w:r w:rsidRPr="00002044">
        <w:rPr>
          <w:rFonts w:ascii="Times New Roman" w:hAnsi="Times New Roman" w:cs="Times New Roman"/>
          <w:b/>
          <w:bCs/>
          <w:i/>
          <w:iCs/>
          <w:sz w:val="18"/>
          <w:szCs w:val="18"/>
        </w:rPr>
        <w:t>Simulated Portfolio Project | October 2026</w:t>
      </w:r>
    </w:p>
    <w:p w14:paraId="20C4FF75" w14:textId="77777777" w:rsidR="00002044" w:rsidRPr="00750406" w:rsidRDefault="00002044" w:rsidP="00002044">
      <w:pPr>
        <w:jc w:val="center"/>
        <w:rPr>
          <w:rFonts w:ascii="Times New Roman" w:hAnsi="Times New Roman" w:cs="Times New Roman"/>
          <w:b/>
          <w:bCs/>
        </w:rPr>
      </w:pPr>
    </w:p>
    <w:p w14:paraId="2326AC13" w14:textId="77777777" w:rsidR="000F2786" w:rsidRPr="0070155A" w:rsidRDefault="000F2786" w:rsidP="000F2786">
      <w:pPr>
        <w:rPr>
          <w:rFonts w:ascii="Times New Roman" w:hAnsi="Times New Roman" w:cs="Times New Roman"/>
        </w:rPr>
      </w:pPr>
      <w:r w:rsidRPr="00A420A5">
        <w:rPr>
          <w:rFonts w:ascii="Times New Roman" w:hAnsi="Times New Roman" w:cs="Times New Roman"/>
          <w:b/>
          <w:bCs/>
          <w:color w:val="156082" w:themeColor="accent1"/>
        </w:rPr>
        <w:t>1. Executive Summary</w:t>
      </w:r>
    </w:p>
    <w:p w14:paraId="1DA40815"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This simulated Governance, Risk, and Compliance (GRC) assessment evaluated the security risks, controls, and available evidence for CarePoint Health Services, a fictional healthcare organization. The assessment focused on patient information, identity and access management, Microsoft 365, employee endpoints, Active Directory, and the Azure environment. Five risks were identified and evaluated using likelihood and impact ratings. Four risks were rated High and one was rated Medium.</w:t>
      </w:r>
    </w:p>
    <w:p w14:paraId="38D6C36E"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 xml:space="preserve">The assessment found that CarePoint has several controls in place, including multi-factor authentication, role-based access controls, full-disk encryption, HR termination notifications, and Azure security monitoring. However, evidence showed gaps in access review documentation, security awareness training records, account termination procedures, and cloud configuration reviews. The </w:t>
      </w:r>
      <w:proofErr w:type="gramStart"/>
      <w:r w:rsidRPr="0070155A">
        <w:rPr>
          <w:rFonts w:ascii="Times New Roman" w:hAnsi="Times New Roman" w:cs="Times New Roman"/>
        </w:rPr>
        <w:t>highest-priority</w:t>
      </w:r>
      <w:proofErr w:type="gramEnd"/>
      <w:r w:rsidRPr="0070155A">
        <w:rPr>
          <w:rFonts w:ascii="Times New Roman" w:hAnsi="Times New Roman" w:cs="Times New Roman"/>
        </w:rPr>
        <w:t xml:space="preserve"> recommendations are to strengthen access governance, improve termination controls, and establish documented recurring Azure configuration reviews.</w:t>
      </w:r>
    </w:p>
    <w:p w14:paraId="22141679" w14:textId="77777777" w:rsidR="000F2786" w:rsidRPr="00A420A5" w:rsidRDefault="000F2786" w:rsidP="000F2786">
      <w:pPr>
        <w:rPr>
          <w:rFonts w:ascii="Times New Roman" w:hAnsi="Times New Roman" w:cs="Times New Roman"/>
          <w:color w:val="156082" w:themeColor="accent1"/>
        </w:rPr>
      </w:pPr>
      <w:r w:rsidRPr="00A420A5">
        <w:rPr>
          <w:rFonts w:ascii="Times New Roman" w:hAnsi="Times New Roman" w:cs="Times New Roman"/>
          <w:b/>
          <w:bCs/>
          <w:color w:val="156082" w:themeColor="accent1"/>
        </w:rPr>
        <w:t>2. Assessment Scope</w:t>
      </w:r>
    </w:p>
    <w:p w14:paraId="77AEECAE"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The assessment was designed as an entry-level GRC exercise and was limited to a simulated environment. The following assets and processes were included:</w:t>
      </w:r>
    </w:p>
    <w:p w14:paraId="0CBACF6B"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Electronic Health Record (EHR) system</w:t>
      </w:r>
    </w:p>
    <w:p w14:paraId="75B3E740" w14:textId="77777777" w:rsidR="000F2786" w:rsidRPr="0070155A" w:rsidRDefault="000F2786" w:rsidP="000F2786">
      <w:pPr>
        <w:rPr>
          <w:rFonts w:ascii="Times New Roman" w:hAnsi="Times New Roman" w:cs="Times New Roman"/>
          <w:lang w:val="fr-FR"/>
        </w:rPr>
      </w:pPr>
      <w:r w:rsidRPr="0070155A">
        <w:rPr>
          <w:rFonts w:ascii="Times New Roman" w:hAnsi="Times New Roman" w:cs="Times New Roman"/>
          <w:lang w:val="fr-FR"/>
        </w:rPr>
        <w:t xml:space="preserve">Patient </w:t>
      </w:r>
      <w:proofErr w:type="spellStart"/>
      <w:r w:rsidRPr="0070155A">
        <w:rPr>
          <w:rFonts w:ascii="Times New Roman" w:hAnsi="Times New Roman" w:cs="Times New Roman"/>
          <w:lang w:val="fr-FR"/>
        </w:rPr>
        <w:t>database</w:t>
      </w:r>
      <w:proofErr w:type="spellEnd"/>
    </w:p>
    <w:p w14:paraId="11BB88F9" w14:textId="77777777" w:rsidR="000F2786" w:rsidRPr="0070155A" w:rsidRDefault="000F2786" w:rsidP="000F2786">
      <w:pPr>
        <w:rPr>
          <w:rFonts w:ascii="Times New Roman" w:hAnsi="Times New Roman" w:cs="Times New Roman"/>
          <w:lang w:val="fr-FR"/>
        </w:rPr>
      </w:pPr>
      <w:r w:rsidRPr="0070155A">
        <w:rPr>
          <w:rFonts w:ascii="Times New Roman" w:hAnsi="Times New Roman" w:cs="Times New Roman"/>
          <w:lang w:val="fr-FR"/>
        </w:rPr>
        <w:t>Microsoft 365</w:t>
      </w:r>
    </w:p>
    <w:p w14:paraId="628282B6" w14:textId="77777777" w:rsidR="000F2786" w:rsidRPr="0070155A" w:rsidRDefault="000F2786" w:rsidP="000F2786">
      <w:pPr>
        <w:rPr>
          <w:rFonts w:ascii="Times New Roman" w:hAnsi="Times New Roman" w:cs="Times New Roman"/>
          <w:lang w:val="fr-FR"/>
        </w:rPr>
      </w:pPr>
      <w:r w:rsidRPr="0070155A">
        <w:rPr>
          <w:rFonts w:ascii="Times New Roman" w:hAnsi="Times New Roman" w:cs="Times New Roman"/>
          <w:lang w:val="fr-FR"/>
        </w:rPr>
        <w:t xml:space="preserve">Azure </w:t>
      </w:r>
      <w:proofErr w:type="spellStart"/>
      <w:r w:rsidRPr="0070155A">
        <w:rPr>
          <w:rFonts w:ascii="Times New Roman" w:hAnsi="Times New Roman" w:cs="Times New Roman"/>
          <w:lang w:val="fr-FR"/>
        </w:rPr>
        <w:t>environment</w:t>
      </w:r>
      <w:proofErr w:type="spellEnd"/>
    </w:p>
    <w:p w14:paraId="43DD5A2E" w14:textId="77777777" w:rsidR="000F2786" w:rsidRPr="0070155A" w:rsidRDefault="000F2786" w:rsidP="000F2786">
      <w:pPr>
        <w:rPr>
          <w:rFonts w:ascii="Times New Roman" w:hAnsi="Times New Roman" w:cs="Times New Roman"/>
          <w:lang w:val="fr-FR"/>
        </w:rPr>
      </w:pPr>
      <w:proofErr w:type="spellStart"/>
      <w:r w:rsidRPr="0070155A">
        <w:rPr>
          <w:rFonts w:ascii="Times New Roman" w:hAnsi="Times New Roman" w:cs="Times New Roman"/>
          <w:lang w:val="fr-FR"/>
        </w:rPr>
        <w:t>Employee</w:t>
      </w:r>
      <w:proofErr w:type="spellEnd"/>
      <w:r w:rsidRPr="0070155A">
        <w:rPr>
          <w:rFonts w:ascii="Times New Roman" w:hAnsi="Times New Roman" w:cs="Times New Roman"/>
          <w:lang w:val="fr-FR"/>
        </w:rPr>
        <w:t xml:space="preserve"> laptops</w:t>
      </w:r>
    </w:p>
    <w:p w14:paraId="1DD97D4A"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Active Directory</w:t>
      </w:r>
    </w:p>
    <w:p w14:paraId="3BA84CE9"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ServiceNow</w:t>
      </w:r>
    </w:p>
    <w:p w14:paraId="429B55FE"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Identity and access management</w:t>
      </w:r>
    </w:p>
    <w:p w14:paraId="5C3ED8D3"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Security awareness and training</w:t>
      </w:r>
    </w:p>
    <w:p w14:paraId="7210F18A"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Employee termination and account disablement</w:t>
      </w:r>
    </w:p>
    <w:p w14:paraId="0F0F21A3" w14:textId="77777777" w:rsidR="000F2786" w:rsidRPr="00A420A5" w:rsidRDefault="000F2786" w:rsidP="000F2786">
      <w:pPr>
        <w:rPr>
          <w:rFonts w:ascii="Times New Roman" w:hAnsi="Times New Roman" w:cs="Times New Roman"/>
          <w:color w:val="156082" w:themeColor="accent1"/>
        </w:rPr>
      </w:pPr>
      <w:r w:rsidRPr="00A420A5">
        <w:rPr>
          <w:rFonts w:ascii="Times New Roman" w:hAnsi="Times New Roman" w:cs="Times New Roman"/>
          <w:b/>
          <w:bCs/>
          <w:color w:val="156082" w:themeColor="accent1"/>
        </w:rPr>
        <w:lastRenderedPageBreak/>
        <w:t>3. Assessment Methodology</w:t>
      </w:r>
    </w:p>
    <w:p w14:paraId="528A3046"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The assessment used a basic risk-based approach. Assets were identified and classified according to their business importance and sensitivity. Threats and vulnerabilities were then identified for each selected risk. Likelihood and impact were rated on a five-point scale, and the risk score was calculated as Likelihood × Impact. The resulting risks were mapped to relevant NIST Cybersecurity Framework functions and evaluated using simulated control evidence.</w:t>
      </w:r>
    </w:p>
    <w:p w14:paraId="1A6AC0E7"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Risk ratings were interpreted as follows: 1–5 Low, 6–10 Medium, 11–15 High, and 16–25 Critical for this exercise. These thresholds are used only for this simulated portfolio assessment.</w:t>
      </w:r>
    </w:p>
    <w:p w14:paraId="0C771EBC" w14:textId="77777777" w:rsidR="000F2786" w:rsidRPr="00A420A5" w:rsidRDefault="000F2786" w:rsidP="000F2786">
      <w:pPr>
        <w:rPr>
          <w:rFonts w:ascii="Times New Roman" w:hAnsi="Times New Roman" w:cs="Times New Roman"/>
          <w:color w:val="156082" w:themeColor="accent1"/>
        </w:rPr>
      </w:pPr>
      <w:r w:rsidRPr="00A420A5">
        <w:rPr>
          <w:rFonts w:ascii="Times New Roman" w:hAnsi="Times New Roman" w:cs="Times New Roman"/>
          <w:b/>
          <w:bCs/>
          <w:color w:val="156082" w:themeColor="accent1"/>
        </w:rPr>
        <w:t>4. Risk Assessment Results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396"/>
        <w:gridCol w:w="1617"/>
        <w:gridCol w:w="1856"/>
        <w:gridCol w:w="1557"/>
        <w:gridCol w:w="1440"/>
        <w:gridCol w:w="1484"/>
      </w:tblGrid>
      <w:tr w:rsidR="000F2786" w:rsidRPr="0070155A" w14:paraId="1CBF6BE6" w14:textId="77777777">
        <w:tc>
          <w:tcPr>
            <w:tcW w:w="1680" w:type="dxa"/>
            <w:tcBorders>
              <w:top w:val="single" w:sz="4" w:space="0" w:color="000000"/>
              <w:left w:val="single" w:sz="4" w:space="0" w:color="000000"/>
              <w:bottom w:val="single" w:sz="4" w:space="0" w:color="000000"/>
              <w:right w:val="single" w:sz="4" w:space="0" w:color="000000"/>
            </w:tcBorders>
            <w:hideMark/>
          </w:tcPr>
          <w:p w14:paraId="50E2CA58"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Risk ID</w:t>
            </w:r>
          </w:p>
        </w:tc>
        <w:tc>
          <w:tcPr>
            <w:tcW w:w="1680" w:type="dxa"/>
            <w:tcBorders>
              <w:top w:val="single" w:sz="4" w:space="0" w:color="000000"/>
              <w:left w:val="single" w:sz="4" w:space="0" w:color="000000"/>
              <w:bottom w:val="single" w:sz="4" w:space="0" w:color="000000"/>
              <w:right w:val="single" w:sz="4" w:space="0" w:color="000000"/>
            </w:tcBorders>
            <w:hideMark/>
          </w:tcPr>
          <w:p w14:paraId="277966B7"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Asset</w:t>
            </w:r>
          </w:p>
        </w:tc>
        <w:tc>
          <w:tcPr>
            <w:tcW w:w="1680" w:type="dxa"/>
            <w:tcBorders>
              <w:top w:val="single" w:sz="4" w:space="0" w:color="000000"/>
              <w:left w:val="single" w:sz="4" w:space="0" w:color="000000"/>
              <w:bottom w:val="single" w:sz="4" w:space="0" w:color="000000"/>
              <w:right w:val="single" w:sz="4" w:space="0" w:color="000000"/>
            </w:tcBorders>
            <w:hideMark/>
          </w:tcPr>
          <w:p w14:paraId="77663EAA"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Risk</w:t>
            </w:r>
          </w:p>
        </w:tc>
        <w:tc>
          <w:tcPr>
            <w:tcW w:w="1680" w:type="dxa"/>
            <w:tcBorders>
              <w:top w:val="single" w:sz="4" w:space="0" w:color="000000"/>
              <w:left w:val="single" w:sz="4" w:space="0" w:color="000000"/>
              <w:bottom w:val="single" w:sz="4" w:space="0" w:color="000000"/>
              <w:right w:val="single" w:sz="4" w:space="0" w:color="000000"/>
            </w:tcBorders>
            <w:hideMark/>
          </w:tcPr>
          <w:p w14:paraId="287EE4D6"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Likelihood</w:t>
            </w:r>
          </w:p>
        </w:tc>
        <w:tc>
          <w:tcPr>
            <w:tcW w:w="1680" w:type="dxa"/>
            <w:tcBorders>
              <w:top w:val="single" w:sz="4" w:space="0" w:color="000000"/>
              <w:left w:val="single" w:sz="4" w:space="0" w:color="000000"/>
              <w:bottom w:val="single" w:sz="4" w:space="0" w:color="000000"/>
              <w:right w:val="single" w:sz="4" w:space="0" w:color="000000"/>
            </w:tcBorders>
            <w:hideMark/>
          </w:tcPr>
          <w:p w14:paraId="271DC0EF"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Impact</w:t>
            </w:r>
          </w:p>
        </w:tc>
        <w:tc>
          <w:tcPr>
            <w:tcW w:w="1680" w:type="dxa"/>
            <w:tcBorders>
              <w:top w:val="single" w:sz="4" w:space="0" w:color="000000"/>
              <w:left w:val="single" w:sz="4" w:space="0" w:color="000000"/>
              <w:bottom w:val="single" w:sz="4" w:space="0" w:color="000000"/>
              <w:right w:val="single" w:sz="4" w:space="0" w:color="000000"/>
            </w:tcBorders>
            <w:hideMark/>
          </w:tcPr>
          <w:p w14:paraId="3B7F4679"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Score / Rating</w:t>
            </w:r>
          </w:p>
        </w:tc>
      </w:tr>
      <w:tr w:rsidR="000F2786" w:rsidRPr="0070155A" w14:paraId="15A1905C" w14:textId="77777777">
        <w:tc>
          <w:tcPr>
            <w:tcW w:w="1680" w:type="dxa"/>
            <w:tcBorders>
              <w:top w:val="single" w:sz="4" w:space="0" w:color="000000"/>
              <w:left w:val="single" w:sz="4" w:space="0" w:color="000000"/>
              <w:bottom w:val="single" w:sz="4" w:space="0" w:color="000000"/>
              <w:right w:val="single" w:sz="4" w:space="0" w:color="000000"/>
            </w:tcBorders>
            <w:vAlign w:val="center"/>
            <w:hideMark/>
          </w:tcPr>
          <w:p w14:paraId="769B0528"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R001</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3421CEFC"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Patient Database</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100E7257"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Unauthorized access to patient data</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15453073"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4</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1A607223"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5</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010771B3"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20 / High</w:t>
            </w:r>
          </w:p>
        </w:tc>
      </w:tr>
      <w:tr w:rsidR="000F2786" w:rsidRPr="0070155A" w14:paraId="08E6186A" w14:textId="77777777">
        <w:tc>
          <w:tcPr>
            <w:tcW w:w="1680" w:type="dxa"/>
            <w:tcBorders>
              <w:top w:val="single" w:sz="4" w:space="0" w:color="000000"/>
              <w:left w:val="single" w:sz="4" w:space="0" w:color="000000"/>
              <w:bottom w:val="single" w:sz="4" w:space="0" w:color="000000"/>
              <w:right w:val="single" w:sz="4" w:space="0" w:color="000000"/>
            </w:tcBorders>
            <w:vAlign w:val="center"/>
            <w:hideMark/>
          </w:tcPr>
          <w:p w14:paraId="722BD2F7"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R002</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16494641"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Microsoft 365</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1418F8DE"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Phishing attack</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1D101A8B"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4</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0DD6FB53"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4</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0B7454CE"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16 / High</w:t>
            </w:r>
          </w:p>
        </w:tc>
      </w:tr>
      <w:tr w:rsidR="000F2786" w:rsidRPr="0070155A" w14:paraId="4D56C363" w14:textId="77777777">
        <w:tc>
          <w:tcPr>
            <w:tcW w:w="1680" w:type="dxa"/>
            <w:tcBorders>
              <w:top w:val="single" w:sz="4" w:space="0" w:color="000000"/>
              <w:left w:val="single" w:sz="4" w:space="0" w:color="000000"/>
              <w:bottom w:val="single" w:sz="4" w:space="0" w:color="000000"/>
              <w:right w:val="single" w:sz="4" w:space="0" w:color="000000"/>
            </w:tcBorders>
            <w:vAlign w:val="center"/>
            <w:hideMark/>
          </w:tcPr>
          <w:p w14:paraId="7E43491C"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R003</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7658B69F"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Employee Laptops</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4462F0EA"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Lost or stolen laptop</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22C1244A"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3</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6699F835"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4</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3BD3F47A"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12 / Medium</w:t>
            </w:r>
          </w:p>
        </w:tc>
      </w:tr>
      <w:tr w:rsidR="000F2786" w:rsidRPr="0070155A" w14:paraId="4571179D" w14:textId="77777777">
        <w:tc>
          <w:tcPr>
            <w:tcW w:w="1680" w:type="dxa"/>
            <w:tcBorders>
              <w:top w:val="single" w:sz="4" w:space="0" w:color="000000"/>
              <w:left w:val="single" w:sz="4" w:space="0" w:color="000000"/>
              <w:bottom w:val="single" w:sz="4" w:space="0" w:color="000000"/>
              <w:right w:val="single" w:sz="4" w:space="0" w:color="000000"/>
            </w:tcBorders>
            <w:vAlign w:val="center"/>
            <w:hideMark/>
          </w:tcPr>
          <w:p w14:paraId="1492895B"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R004</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54AC1A1C"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Active Directory</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69728AE5"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Former employee retains access</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6A477484"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3</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524DD96C"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5</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0F9AEC8A"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15 / High</w:t>
            </w:r>
          </w:p>
        </w:tc>
      </w:tr>
      <w:tr w:rsidR="000F2786" w:rsidRPr="0070155A" w14:paraId="4974B55B" w14:textId="77777777">
        <w:tc>
          <w:tcPr>
            <w:tcW w:w="1680" w:type="dxa"/>
            <w:tcBorders>
              <w:top w:val="single" w:sz="4" w:space="0" w:color="000000"/>
              <w:left w:val="single" w:sz="4" w:space="0" w:color="000000"/>
              <w:bottom w:val="single" w:sz="4" w:space="0" w:color="000000"/>
              <w:right w:val="single" w:sz="4" w:space="0" w:color="000000"/>
            </w:tcBorders>
            <w:vAlign w:val="center"/>
            <w:hideMark/>
          </w:tcPr>
          <w:p w14:paraId="1EA3C5B1"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R005</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0BE3E11C"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Azure Environment</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403F9F6D"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Cloud misconfiguration</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63D3F189"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3</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54E605E9"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5</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177DA020"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15 / High</w:t>
            </w:r>
          </w:p>
        </w:tc>
      </w:tr>
    </w:tbl>
    <w:p w14:paraId="1D5E33B6" w14:textId="77777777" w:rsidR="000F2786" w:rsidRPr="00A420A5" w:rsidRDefault="000F2786" w:rsidP="000F2786">
      <w:pPr>
        <w:rPr>
          <w:rFonts w:ascii="Times New Roman" w:hAnsi="Times New Roman" w:cs="Times New Roman"/>
          <w:color w:val="156082" w:themeColor="accent1"/>
        </w:rPr>
      </w:pPr>
      <w:r w:rsidRPr="00A420A5">
        <w:rPr>
          <w:rFonts w:ascii="Times New Roman" w:hAnsi="Times New Roman" w:cs="Times New Roman"/>
          <w:b/>
          <w:bCs/>
          <w:color w:val="156082" w:themeColor="accent1"/>
        </w:rPr>
        <w:t>5. Control Assessment</w:t>
      </w:r>
    </w:p>
    <w:p w14:paraId="41F283D1"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The control review showed that CarePoint has foundational security controls in place, but several controls require stronger documentation or recurring review.</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273"/>
        <w:gridCol w:w="2390"/>
        <w:gridCol w:w="2288"/>
        <w:gridCol w:w="2399"/>
      </w:tblGrid>
      <w:tr w:rsidR="000F2786" w:rsidRPr="0070155A" w14:paraId="29C9DEB4" w14:textId="77777777">
        <w:tc>
          <w:tcPr>
            <w:tcW w:w="2520" w:type="dxa"/>
            <w:tcBorders>
              <w:top w:val="single" w:sz="4" w:space="0" w:color="000000"/>
              <w:left w:val="single" w:sz="4" w:space="0" w:color="000000"/>
              <w:bottom w:val="single" w:sz="4" w:space="0" w:color="000000"/>
              <w:right w:val="single" w:sz="4" w:space="0" w:color="000000"/>
            </w:tcBorders>
            <w:hideMark/>
          </w:tcPr>
          <w:p w14:paraId="0FB7B355"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Risk</w:t>
            </w:r>
          </w:p>
        </w:tc>
        <w:tc>
          <w:tcPr>
            <w:tcW w:w="2520" w:type="dxa"/>
            <w:tcBorders>
              <w:top w:val="single" w:sz="4" w:space="0" w:color="000000"/>
              <w:left w:val="single" w:sz="4" w:space="0" w:color="000000"/>
              <w:bottom w:val="single" w:sz="4" w:space="0" w:color="000000"/>
              <w:right w:val="single" w:sz="4" w:space="0" w:color="000000"/>
            </w:tcBorders>
            <w:hideMark/>
          </w:tcPr>
          <w:p w14:paraId="15678585"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Control</w:t>
            </w:r>
          </w:p>
        </w:tc>
        <w:tc>
          <w:tcPr>
            <w:tcW w:w="2520" w:type="dxa"/>
            <w:tcBorders>
              <w:top w:val="single" w:sz="4" w:space="0" w:color="000000"/>
              <w:left w:val="single" w:sz="4" w:space="0" w:color="000000"/>
              <w:bottom w:val="single" w:sz="4" w:space="0" w:color="000000"/>
              <w:right w:val="single" w:sz="4" w:space="0" w:color="000000"/>
            </w:tcBorders>
            <w:hideMark/>
          </w:tcPr>
          <w:p w14:paraId="3F79F74A"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Result</w:t>
            </w:r>
          </w:p>
        </w:tc>
        <w:tc>
          <w:tcPr>
            <w:tcW w:w="2520" w:type="dxa"/>
            <w:tcBorders>
              <w:top w:val="single" w:sz="4" w:space="0" w:color="000000"/>
              <w:left w:val="single" w:sz="4" w:space="0" w:color="000000"/>
              <w:bottom w:val="single" w:sz="4" w:space="0" w:color="000000"/>
              <w:right w:val="single" w:sz="4" w:space="0" w:color="000000"/>
            </w:tcBorders>
            <w:hideMark/>
          </w:tcPr>
          <w:p w14:paraId="45109FA9"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Assessment</w:t>
            </w:r>
          </w:p>
        </w:tc>
      </w:tr>
      <w:tr w:rsidR="000F2786" w:rsidRPr="0070155A" w14:paraId="310A4472" w14:textId="77777777">
        <w:tc>
          <w:tcPr>
            <w:tcW w:w="2520" w:type="dxa"/>
            <w:tcBorders>
              <w:top w:val="single" w:sz="4" w:space="0" w:color="000000"/>
              <w:left w:val="single" w:sz="4" w:space="0" w:color="000000"/>
              <w:bottom w:val="single" w:sz="4" w:space="0" w:color="000000"/>
              <w:right w:val="single" w:sz="4" w:space="0" w:color="000000"/>
            </w:tcBorders>
            <w:hideMark/>
          </w:tcPr>
          <w:p w14:paraId="40715DBB"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R001</w:t>
            </w:r>
          </w:p>
        </w:tc>
        <w:tc>
          <w:tcPr>
            <w:tcW w:w="2520" w:type="dxa"/>
            <w:tcBorders>
              <w:top w:val="single" w:sz="4" w:space="0" w:color="000000"/>
              <w:left w:val="single" w:sz="4" w:space="0" w:color="000000"/>
              <w:bottom w:val="single" w:sz="4" w:space="0" w:color="000000"/>
              <w:right w:val="single" w:sz="4" w:space="0" w:color="000000"/>
            </w:tcBorders>
            <w:hideMark/>
          </w:tcPr>
          <w:p w14:paraId="5825AD91"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Role-based access controls</w:t>
            </w:r>
          </w:p>
        </w:tc>
        <w:tc>
          <w:tcPr>
            <w:tcW w:w="2520" w:type="dxa"/>
            <w:tcBorders>
              <w:top w:val="single" w:sz="4" w:space="0" w:color="000000"/>
              <w:left w:val="single" w:sz="4" w:space="0" w:color="000000"/>
              <w:bottom w:val="single" w:sz="4" w:space="0" w:color="000000"/>
              <w:right w:val="single" w:sz="4" w:space="0" w:color="000000"/>
            </w:tcBorders>
            <w:hideMark/>
          </w:tcPr>
          <w:p w14:paraId="38807D53"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Partial</w:t>
            </w:r>
          </w:p>
        </w:tc>
        <w:tc>
          <w:tcPr>
            <w:tcW w:w="2520" w:type="dxa"/>
            <w:tcBorders>
              <w:top w:val="single" w:sz="4" w:space="0" w:color="000000"/>
              <w:left w:val="single" w:sz="4" w:space="0" w:color="000000"/>
              <w:bottom w:val="single" w:sz="4" w:space="0" w:color="000000"/>
              <w:right w:val="single" w:sz="4" w:space="0" w:color="000000"/>
            </w:tcBorders>
            <w:hideMark/>
          </w:tcPr>
          <w:p w14:paraId="3454B757"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Access reviews exist, but documentation is incomplete.</w:t>
            </w:r>
          </w:p>
        </w:tc>
      </w:tr>
      <w:tr w:rsidR="000F2786" w:rsidRPr="0070155A" w14:paraId="3EBD3FCA" w14:textId="77777777">
        <w:tc>
          <w:tcPr>
            <w:tcW w:w="2520" w:type="dxa"/>
            <w:tcBorders>
              <w:top w:val="single" w:sz="4" w:space="0" w:color="000000"/>
              <w:left w:val="single" w:sz="4" w:space="0" w:color="000000"/>
              <w:bottom w:val="single" w:sz="4" w:space="0" w:color="000000"/>
              <w:right w:val="single" w:sz="4" w:space="0" w:color="000000"/>
            </w:tcBorders>
            <w:hideMark/>
          </w:tcPr>
          <w:p w14:paraId="71F099F6"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R002</w:t>
            </w:r>
          </w:p>
        </w:tc>
        <w:tc>
          <w:tcPr>
            <w:tcW w:w="2520" w:type="dxa"/>
            <w:tcBorders>
              <w:top w:val="single" w:sz="4" w:space="0" w:color="000000"/>
              <w:left w:val="single" w:sz="4" w:space="0" w:color="000000"/>
              <w:bottom w:val="single" w:sz="4" w:space="0" w:color="000000"/>
              <w:right w:val="single" w:sz="4" w:space="0" w:color="000000"/>
            </w:tcBorders>
            <w:hideMark/>
          </w:tcPr>
          <w:p w14:paraId="364F5653"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Multi-factor authentication</w:t>
            </w:r>
          </w:p>
        </w:tc>
        <w:tc>
          <w:tcPr>
            <w:tcW w:w="2520" w:type="dxa"/>
            <w:tcBorders>
              <w:top w:val="single" w:sz="4" w:space="0" w:color="000000"/>
              <w:left w:val="single" w:sz="4" w:space="0" w:color="000000"/>
              <w:bottom w:val="single" w:sz="4" w:space="0" w:color="000000"/>
              <w:right w:val="single" w:sz="4" w:space="0" w:color="000000"/>
            </w:tcBorders>
            <w:hideMark/>
          </w:tcPr>
          <w:p w14:paraId="1CAF6D9E"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Pass</w:t>
            </w:r>
          </w:p>
        </w:tc>
        <w:tc>
          <w:tcPr>
            <w:tcW w:w="2520" w:type="dxa"/>
            <w:tcBorders>
              <w:top w:val="single" w:sz="4" w:space="0" w:color="000000"/>
              <w:left w:val="single" w:sz="4" w:space="0" w:color="000000"/>
              <w:bottom w:val="single" w:sz="4" w:space="0" w:color="000000"/>
              <w:right w:val="single" w:sz="4" w:space="0" w:color="000000"/>
            </w:tcBorders>
            <w:hideMark/>
          </w:tcPr>
          <w:p w14:paraId="110D1A79"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MFA is enabled for required users.</w:t>
            </w:r>
          </w:p>
        </w:tc>
      </w:tr>
      <w:tr w:rsidR="000F2786" w:rsidRPr="0070155A" w14:paraId="45065C33" w14:textId="77777777">
        <w:tc>
          <w:tcPr>
            <w:tcW w:w="2520" w:type="dxa"/>
            <w:tcBorders>
              <w:top w:val="single" w:sz="4" w:space="0" w:color="000000"/>
              <w:left w:val="single" w:sz="4" w:space="0" w:color="000000"/>
              <w:bottom w:val="single" w:sz="4" w:space="0" w:color="000000"/>
              <w:right w:val="single" w:sz="4" w:space="0" w:color="000000"/>
            </w:tcBorders>
            <w:hideMark/>
          </w:tcPr>
          <w:p w14:paraId="7D450C2F"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lastRenderedPageBreak/>
              <w:t>R002</w:t>
            </w:r>
          </w:p>
        </w:tc>
        <w:tc>
          <w:tcPr>
            <w:tcW w:w="2520" w:type="dxa"/>
            <w:tcBorders>
              <w:top w:val="single" w:sz="4" w:space="0" w:color="000000"/>
              <w:left w:val="single" w:sz="4" w:space="0" w:color="000000"/>
              <w:bottom w:val="single" w:sz="4" w:space="0" w:color="000000"/>
              <w:right w:val="single" w:sz="4" w:space="0" w:color="000000"/>
            </w:tcBorders>
            <w:hideMark/>
          </w:tcPr>
          <w:p w14:paraId="5CF1652D"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Security awareness training</w:t>
            </w:r>
          </w:p>
        </w:tc>
        <w:tc>
          <w:tcPr>
            <w:tcW w:w="2520" w:type="dxa"/>
            <w:tcBorders>
              <w:top w:val="single" w:sz="4" w:space="0" w:color="000000"/>
              <w:left w:val="single" w:sz="4" w:space="0" w:color="000000"/>
              <w:bottom w:val="single" w:sz="4" w:space="0" w:color="000000"/>
              <w:right w:val="single" w:sz="4" w:space="0" w:color="000000"/>
            </w:tcBorders>
            <w:hideMark/>
          </w:tcPr>
          <w:p w14:paraId="33C36429"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Partial</w:t>
            </w:r>
          </w:p>
        </w:tc>
        <w:tc>
          <w:tcPr>
            <w:tcW w:w="2520" w:type="dxa"/>
            <w:tcBorders>
              <w:top w:val="single" w:sz="4" w:space="0" w:color="000000"/>
              <w:left w:val="single" w:sz="4" w:space="0" w:color="000000"/>
              <w:bottom w:val="single" w:sz="4" w:space="0" w:color="000000"/>
              <w:right w:val="single" w:sz="4" w:space="0" w:color="000000"/>
            </w:tcBorders>
            <w:hideMark/>
          </w:tcPr>
          <w:p w14:paraId="69E6598D"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Some employees are missing documented training.</w:t>
            </w:r>
          </w:p>
        </w:tc>
      </w:tr>
      <w:tr w:rsidR="000F2786" w:rsidRPr="0070155A" w14:paraId="32962ABD" w14:textId="77777777">
        <w:tc>
          <w:tcPr>
            <w:tcW w:w="2520" w:type="dxa"/>
            <w:tcBorders>
              <w:top w:val="single" w:sz="4" w:space="0" w:color="000000"/>
              <w:left w:val="single" w:sz="4" w:space="0" w:color="000000"/>
              <w:bottom w:val="single" w:sz="4" w:space="0" w:color="000000"/>
              <w:right w:val="single" w:sz="4" w:space="0" w:color="000000"/>
            </w:tcBorders>
            <w:hideMark/>
          </w:tcPr>
          <w:p w14:paraId="200BF289"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R003</w:t>
            </w:r>
          </w:p>
        </w:tc>
        <w:tc>
          <w:tcPr>
            <w:tcW w:w="2520" w:type="dxa"/>
            <w:tcBorders>
              <w:top w:val="single" w:sz="4" w:space="0" w:color="000000"/>
              <w:left w:val="single" w:sz="4" w:space="0" w:color="000000"/>
              <w:bottom w:val="single" w:sz="4" w:space="0" w:color="000000"/>
              <w:right w:val="single" w:sz="4" w:space="0" w:color="000000"/>
            </w:tcBorders>
            <w:hideMark/>
          </w:tcPr>
          <w:p w14:paraId="05643BBA"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Full-disk encryption</w:t>
            </w:r>
          </w:p>
        </w:tc>
        <w:tc>
          <w:tcPr>
            <w:tcW w:w="2520" w:type="dxa"/>
            <w:tcBorders>
              <w:top w:val="single" w:sz="4" w:space="0" w:color="000000"/>
              <w:left w:val="single" w:sz="4" w:space="0" w:color="000000"/>
              <w:bottom w:val="single" w:sz="4" w:space="0" w:color="000000"/>
              <w:right w:val="single" w:sz="4" w:space="0" w:color="000000"/>
            </w:tcBorders>
            <w:hideMark/>
          </w:tcPr>
          <w:p w14:paraId="71540CC2"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Pass</w:t>
            </w:r>
          </w:p>
        </w:tc>
        <w:tc>
          <w:tcPr>
            <w:tcW w:w="2520" w:type="dxa"/>
            <w:tcBorders>
              <w:top w:val="single" w:sz="4" w:space="0" w:color="000000"/>
              <w:left w:val="single" w:sz="4" w:space="0" w:color="000000"/>
              <w:bottom w:val="single" w:sz="4" w:space="0" w:color="000000"/>
              <w:right w:val="single" w:sz="4" w:space="0" w:color="000000"/>
            </w:tcBorders>
            <w:hideMark/>
          </w:tcPr>
          <w:p w14:paraId="407A658A"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Encryption is enabled on employee devices.</w:t>
            </w:r>
          </w:p>
        </w:tc>
      </w:tr>
      <w:tr w:rsidR="000F2786" w:rsidRPr="0070155A" w14:paraId="3AA3A70B" w14:textId="77777777">
        <w:tc>
          <w:tcPr>
            <w:tcW w:w="2520" w:type="dxa"/>
            <w:tcBorders>
              <w:top w:val="single" w:sz="4" w:space="0" w:color="000000"/>
              <w:left w:val="single" w:sz="4" w:space="0" w:color="000000"/>
              <w:bottom w:val="single" w:sz="4" w:space="0" w:color="000000"/>
              <w:right w:val="single" w:sz="4" w:space="0" w:color="000000"/>
            </w:tcBorders>
            <w:hideMark/>
          </w:tcPr>
          <w:p w14:paraId="45F252B3"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R004</w:t>
            </w:r>
          </w:p>
        </w:tc>
        <w:tc>
          <w:tcPr>
            <w:tcW w:w="2520" w:type="dxa"/>
            <w:tcBorders>
              <w:top w:val="single" w:sz="4" w:space="0" w:color="000000"/>
              <w:left w:val="single" w:sz="4" w:space="0" w:color="000000"/>
              <w:bottom w:val="single" w:sz="4" w:space="0" w:color="000000"/>
              <w:right w:val="single" w:sz="4" w:space="0" w:color="000000"/>
            </w:tcBorders>
            <w:hideMark/>
          </w:tcPr>
          <w:p w14:paraId="7C5B8626"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HR termination notifications</w:t>
            </w:r>
          </w:p>
        </w:tc>
        <w:tc>
          <w:tcPr>
            <w:tcW w:w="2520" w:type="dxa"/>
            <w:tcBorders>
              <w:top w:val="single" w:sz="4" w:space="0" w:color="000000"/>
              <w:left w:val="single" w:sz="4" w:space="0" w:color="000000"/>
              <w:bottom w:val="single" w:sz="4" w:space="0" w:color="000000"/>
              <w:right w:val="single" w:sz="4" w:space="0" w:color="000000"/>
            </w:tcBorders>
            <w:hideMark/>
          </w:tcPr>
          <w:p w14:paraId="5E3659F0"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Partial</w:t>
            </w:r>
          </w:p>
        </w:tc>
        <w:tc>
          <w:tcPr>
            <w:tcW w:w="2520" w:type="dxa"/>
            <w:tcBorders>
              <w:top w:val="single" w:sz="4" w:space="0" w:color="000000"/>
              <w:left w:val="single" w:sz="4" w:space="0" w:color="000000"/>
              <w:bottom w:val="single" w:sz="4" w:space="0" w:color="000000"/>
              <w:right w:val="single" w:sz="4" w:space="0" w:color="000000"/>
            </w:tcBorders>
            <w:hideMark/>
          </w:tcPr>
          <w:p w14:paraId="66252906"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Some accounts were disabled late.</w:t>
            </w:r>
          </w:p>
        </w:tc>
      </w:tr>
      <w:tr w:rsidR="000F2786" w:rsidRPr="0070155A" w14:paraId="653A7541" w14:textId="77777777">
        <w:tc>
          <w:tcPr>
            <w:tcW w:w="2520" w:type="dxa"/>
            <w:tcBorders>
              <w:top w:val="single" w:sz="4" w:space="0" w:color="000000"/>
              <w:left w:val="single" w:sz="4" w:space="0" w:color="000000"/>
              <w:bottom w:val="single" w:sz="4" w:space="0" w:color="000000"/>
              <w:right w:val="single" w:sz="4" w:space="0" w:color="000000"/>
            </w:tcBorders>
            <w:hideMark/>
          </w:tcPr>
          <w:p w14:paraId="334C1EFF"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R005</w:t>
            </w:r>
          </w:p>
        </w:tc>
        <w:tc>
          <w:tcPr>
            <w:tcW w:w="2520" w:type="dxa"/>
            <w:tcBorders>
              <w:top w:val="single" w:sz="4" w:space="0" w:color="000000"/>
              <w:left w:val="single" w:sz="4" w:space="0" w:color="000000"/>
              <w:bottom w:val="single" w:sz="4" w:space="0" w:color="000000"/>
              <w:right w:val="single" w:sz="4" w:space="0" w:color="000000"/>
            </w:tcBorders>
            <w:hideMark/>
          </w:tcPr>
          <w:p w14:paraId="0A4DF9DA"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Azure security monitoring</w:t>
            </w:r>
          </w:p>
        </w:tc>
        <w:tc>
          <w:tcPr>
            <w:tcW w:w="2520" w:type="dxa"/>
            <w:tcBorders>
              <w:top w:val="single" w:sz="4" w:space="0" w:color="000000"/>
              <w:left w:val="single" w:sz="4" w:space="0" w:color="000000"/>
              <w:bottom w:val="single" w:sz="4" w:space="0" w:color="000000"/>
              <w:right w:val="single" w:sz="4" w:space="0" w:color="000000"/>
            </w:tcBorders>
            <w:hideMark/>
          </w:tcPr>
          <w:p w14:paraId="6C76D22C"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Fail</w:t>
            </w:r>
          </w:p>
        </w:tc>
        <w:tc>
          <w:tcPr>
            <w:tcW w:w="2520" w:type="dxa"/>
            <w:tcBorders>
              <w:top w:val="single" w:sz="4" w:space="0" w:color="000000"/>
              <w:left w:val="single" w:sz="4" w:space="0" w:color="000000"/>
              <w:bottom w:val="single" w:sz="4" w:space="0" w:color="000000"/>
              <w:right w:val="single" w:sz="4" w:space="0" w:color="000000"/>
            </w:tcBorders>
            <w:hideMark/>
          </w:tcPr>
          <w:p w14:paraId="2569C1BF"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No documented Azure configuration review was available.</w:t>
            </w:r>
          </w:p>
        </w:tc>
      </w:tr>
    </w:tbl>
    <w:p w14:paraId="0EB139A6" w14:textId="77777777" w:rsidR="000F2786" w:rsidRPr="00A420A5" w:rsidRDefault="000F2786" w:rsidP="000F2786">
      <w:pPr>
        <w:rPr>
          <w:rFonts w:ascii="Times New Roman" w:hAnsi="Times New Roman" w:cs="Times New Roman"/>
          <w:color w:val="156082" w:themeColor="accent1"/>
        </w:rPr>
      </w:pPr>
      <w:r w:rsidRPr="00A420A5">
        <w:rPr>
          <w:rFonts w:ascii="Times New Roman" w:hAnsi="Times New Roman" w:cs="Times New Roman"/>
          <w:b/>
          <w:bCs/>
          <w:color w:val="156082" w:themeColor="accent1"/>
        </w:rPr>
        <w:t>6. Key Findings</w:t>
      </w:r>
    </w:p>
    <w:p w14:paraId="3FFD5285" w14:textId="77777777" w:rsidR="000F2786" w:rsidRPr="0070155A" w:rsidRDefault="000F2786" w:rsidP="000F2786">
      <w:pPr>
        <w:rPr>
          <w:rFonts w:ascii="Times New Roman" w:hAnsi="Times New Roman" w:cs="Times New Roman"/>
        </w:rPr>
      </w:pPr>
      <w:r w:rsidRPr="0070155A">
        <w:rPr>
          <w:rFonts w:ascii="Times New Roman" w:hAnsi="Times New Roman" w:cs="Times New Roman"/>
          <w:b/>
          <w:bCs/>
        </w:rPr>
        <w:t>F001 – Incomplete Access Reviews</w:t>
      </w:r>
    </w:p>
    <w:p w14:paraId="7453A183"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Access reviews are not consistently documented, making it difficult to demonstrate that users retain only the access required for their roles.</w:t>
      </w:r>
    </w:p>
    <w:p w14:paraId="47681FB1" w14:textId="77777777" w:rsidR="000F2786" w:rsidRPr="0070155A" w:rsidRDefault="000F2786" w:rsidP="000F2786">
      <w:pPr>
        <w:rPr>
          <w:rFonts w:ascii="Times New Roman" w:hAnsi="Times New Roman" w:cs="Times New Roman"/>
        </w:rPr>
      </w:pPr>
      <w:r w:rsidRPr="0070155A">
        <w:rPr>
          <w:rFonts w:ascii="Times New Roman" w:hAnsi="Times New Roman" w:cs="Times New Roman"/>
          <w:b/>
          <w:bCs/>
        </w:rPr>
        <w:t>F002 – Missing Training Records</w:t>
      </w:r>
    </w:p>
    <w:p w14:paraId="0094A1F2"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Security awareness training is not consistently documented for all employees, creating a compliance and security awareness gap.</w:t>
      </w:r>
    </w:p>
    <w:p w14:paraId="61156FD1" w14:textId="77777777" w:rsidR="000F2786" w:rsidRPr="0070155A" w:rsidRDefault="000F2786" w:rsidP="000F2786">
      <w:pPr>
        <w:rPr>
          <w:rFonts w:ascii="Times New Roman" w:hAnsi="Times New Roman" w:cs="Times New Roman"/>
        </w:rPr>
      </w:pPr>
      <w:r w:rsidRPr="0070155A">
        <w:rPr>
          <w:rFonts w:ascii="Times New Roman" w:hAnsi="Times New Roman" w:cs="Times New Roman"/>
          <w:b/>
          <w:bCs/>
        </w:rPr>
        <w:t>F003 – Delayed Account Termination</w:t>
      </w:r>
    </w:p>
    <w:p w14:paraId="0E6F99E5"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Some former employee accounts were disabled late, increasing the risk of unauthorized access after employment ends.</w:t>
      </w:r>
    </w:p>
    <w:p w14:paraId="6A6F9385" w14:textId="77777777" w:rsidR="000F2786" w:rsidRPr="0070155A" w:rsidRDefault="000F2786" w:rsidP="000F2786">
      <w:pPr>
        <w:rPr>
          <w:rFonts w:ascii="Times New Roman" w:hAnsi="Times New Roman" w:cs="Times New Roman"/>
        </w:rPr>
      </w:pPr>
      <w:r w:rsidRPr="0070155A">
        <w:rPr>
          <w:rFonts w:ascii="Times New Roman" w:hAnsi="Times New Roman" w:cs="Times New Roman"/>
          <w:b/>
          <w:bCs/>
        </w:rPr>
        <w:t>F004 – No Azure Review Evidence</w:t>
      </w:r>
    </w:p>
    <w:p w14:paraId="557B5166"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No documented Azure configuration review was available. Without recurring evidence, management cannot easily demonstrate that cloud configurations are being reviewed.</w:t>
      </w:r>
    </w:p>
    <w:p w14:paraId="76EE8819" w14:textId="77777777" w:rsidR="000F2786" w:rsidRPr="00A420A5" w:rsidRDefault="000F2786" w:rsidP="000F2786">
      <w:pPr>
        <w:rPr>
          <w:rFonts w:ascii="Times New Roman" w:hAnsi="Times New Roman" w:cs="Times New Roman"/>
          <w:color w:val="156082" w:themeColor="accent1"/>
        </w:rPr>
      </w:pPr>
      <w:r w:rsidRPr="00A420A5">
        <w:rPr>
          <w:rFonts w:ascii="Times New Roman" w:hAnsi="Times New Roman" w:cs="Times New Roman"/>
          <w:b/>
          <w:bCs/>
          <w:color w:val="156082" w:themeColor="accent1"/>
        </w:rPr>
        <w:t>7. NIST CSF Alignment</w:t>
      </w:r>
    </w:p>
    <w:p w14:paraId="37E82350"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The identified risks were primarily aligned to the NIST Cybersecurity Framework's Protect function because the selected controls focus on access control, identity management, security awareness, device protection, and secure configuration. The assessment also supports the broader Govern and Identify activities by documenting organizational risks, assets, owners, and remediation priorities.</w:t>
      </w:r>
    </w:p>
    <w:p w14:paraId="5F9F9432" w14:textId="77777777" w:rsidR="000F2786" w:rsidRPr="00A420A5" w:rsidRDefault="000F2786" w:rsidP="000F2786">
      <w:pPr>
        <w:rPr>
          <w:rFonts w:ascii="Times New Roman" w:hAnsi="Times New Roman" w:cs="Times New Roman"/>
          <w:color w:val="156082" w:themeColor="accent1"/>
        </w:rPr>
      </w:pPr>
      <w:r w:rsidRPr="00A420A5">
        <w:rPr>
          <w:rFonts w:ascii="Times New Roman" w:hAnsi="Times New Roman" w:cs="Times New Roman"/>
          <w:b/>
          <w:bCs/>
          <w:color w:val="156082" w:themeColor="accent1"/>
        </w:rPr>
        <w:t>8. Remediation Recommendations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319"/>
        <w:gridCol w:w="2278"/>
        <w:gridCol w:w="2437"/>
        <w:gridCol w:w="2316"/>
      </w:tblGrid>
      <w:tr w:rsidR="000F2786" w:rsidRPr="0070155A" w14:paraId="6BD7EC00" w14:textId="77777777">
        <w:tc>
          <w:tcPr>
            <w:tcW w:w="2520" w:type="dxa"/>
            <w:tcBorders>
              <w:top w:val="single" w:sz="4" w:space="0" w:color="000000"/>
              <w:left w:val="single" w:sz="4" w:space="0" w:color="000000"/>
              <w:bottom w:val="single" w:sz="4" w:space="0" w:color="000000"/>
              <w:right w:val="single" w:sz="4" w:space="0" w:color="000000"/>
            </w:tcBorders>
            <w:hideMark/>
          </w:tcPr>
          <w:p w14:paraId="08051DBB"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Priority</w:t>
            </w:r>
          </w:p>
        </w:tc>
        <w:tc>
          <w:tcPr>
            <w:tcW w:w="2520" w:type="dxa"/>
            <w:tcBorders>
              <w:top w:val="single" w:sz="4" w:space="0" w:color="000000"/>
              <w:left w:val="single" w:sz="4" w:space="0" w:color="000000"/>
              <w:bottom w:val="single" w:sz="4" w:space="0" w:color="000000"/>
              <w:right w:val="single" w:sz="4" w:space="0" w:color="000000"/>
            </w:tcBorders>
            <w:hideMark/>
          </w:tcPr>
          <w:p w14:paraId="4752410F"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Risk</w:t>
            </w:r>
          </w:p>
        </w:tc>
        <w:tc>
          <w:tcPr>
            <w:tcW w:w="2520" w:type="dxa"/>
            <w:tcBorders>
              <w:top w:val="single" w:sz="4" w:space="0" w:color="000000"/>
              <w:left w:val="single" w:sz="4" w:space="0" w:color="000000"/>
              <w:bottom w:val="single" w:sz="4" w:space="0" w:color="000000"/>
              <w:right w:val="single" w:sz="4" w:space="0" w:color="000000"/>
            </w:tcBorders>
            <w:hideMark/>
          </w:tcPr>
          <w:p w14:paraId="3996CA25"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Recommendation</w:t>
            </w:r>
          </w:p>
        </w:tc>
        <w:tc>
          <w:tcPr>
            <w:tcW w:w="2520" w:type="dxa"/>
            <w:tcBorders>
              <w:top w:val="single" w:sz="4" w:space="0" w:color="000000"/>
              <w:left w:val="single" w:sz="4" w:space="0" w:color="000000"/>
              <w:bottom w:val="single" w:sz="4" w:space="0" w:color="000000"/>
              <w:right w:val="single" w:sz="4" w:space="0" w:color="000000"/>
            </w:tcBorders>
            <w:hideMark/>
          </w:tcPr>
          <w:p w14:paraId="68D5C448"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Owner</w:t>
            </w:r>
          </w:p>
        </w:tc>
      </w:tr>
      <w:tr w:rsidR="000F2786" w:rsidRPr="0070155A" w14:paraId="4B145F4E" w14:textId="77777777">
        <w:tc>
          <w:tcPr>
            <w:tcW w:w="2520" w:type="dxa"/>
            <w:tcBorders>
              <w:top w:val="single" w:sz="4" w:space="0" w:color="000000"/>
              <w:left w:val="single" w:sz="4" w:space="0" w:color="000000"/>
              <w:bottom w:val="single" w:sz="4" w:space="0" w:color="000000"/>
              <w:right w:val="single" w:sz="4" w:space="0" w:color="000000"/>
            </w:tcBorders>
            <w:hideMark/>
          </w:tcPr>
          <w:p w14:paraId="5585A0C7"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lastRenderedPageBreak/>
              <w:t>High</w:t>
            </w:r>
          </w:p>
        </w:tc>
        <w:tc>
          <w:tcPr>
            <w:tcW w:w="2520" w:type="dxa"/>
            <w:tcBorders>
              <w:top w:val="single" w:sz="4" w:space="0" w:color="000000"/>
              <w:left w:val="single" w:sz="4" w:space="0" w:color="000000"/>
              <w:bottom w:val="single" w:sz="4" w:space="0" w:color="000000"/>
              <w:right w:val="single" w:sz="4" w:space="0" w:color="000000"/>
            </w:tcBorders>
            <w:hideMark/>
          </w:tcPr>
          <w:p w14:paraId="0275D7FA"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R001</w:t>
            </w:r>
          </w:p>
        </w:tc>
        <w:tc>
          <w:tcPr>
            <w:tcW w:w="2520" w:type="dxa"/>
            <w:tcBorders>
              <w:top w:val="single" w:sz="4" w:space="0" w:color="000000"/>
              <w:left w:val="single" w:sz="4" w:space="0" w:color="000000"/>
              <w:bottom w:val="single" w:sz="4" w:space="0" w:color="000000"/>
              <w:right w:val="single" w:sz="4" w:space="0" w:color="000000"/>
            </w:tcBorders>
            <w:hideMark/>
          </w:tcPr>
          <w:p w14:paraId="7DEB3196"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Implement quarterly user access reviews and retain documented approval evidence.</w:t>
            </w:r>
          </w:p>
        </w:tc>
        <w:tc>
          <w:tcPr>
            <w:tcW w:w="2520" w:type="dxa"/>
            <w:tcBorders>
              <w:top w:val="single" w:sz="4" w:space="0" w:color="000000"/>
              <w:left w:val="single" w:sz="4" w:space="0" w:color="000000"/>
              <w:bottom w:val="single" w:sz="4" w:space="0" w:color="000000"/>
              <w:right w:val="single" w:sz="4" w:space="0" w:color="000000"/>
            </w:tcBorders>
            <w:hideMark/>
          </w:tcPr>
          <w:p w14:paraId="42DA484C"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IT Security</w:t>
            </w:r>
          </w:p>
        </w:tc>
      </w:tr>
      <w:tr w:rsidR="000F2786" w:rsidRPr="0070155A" w14:paraId="502CA5E2" w14:textId="77777777">
        <w:tc>
          <w:tcPr>
            <w:tcW w:w="2520" w:type="dxa"/>
            <w:tcBorders>
              <w:top w:val="single" w:sz="4" w:space="0" w:color="000000"/>
              <w:left w:val="single" w:sz="4" w:space="0" w:color="000000"/>
              <w:bottom w:val="single" w:sz="4" w:space="0" w:color="000000"/>
              <w:right w:val="single" w:sz="4" w:space="0" w:color="000000"/>
            </w:tcBorders>
            <w:hideMark/>
          </w:tcPr>
          <w:p w14:paraId="6799090D"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Medium</w:t>
            </w:r>
          </w:p>
        </w:tc>
        <w:tc>
          <w:tcPr>
            <w:tcW w:w="2520" w:type="dxa"/>
            <w:tcBorders>
              <w:top w:val="single" w:sz="4" w:space="0" w:color="000000"/>
              <w:left w:val="single" w:sz="4" w:space="0" w:color="000000"/>
              <w:bottom w:val="single" w:sz="4" w:space="0" w:color="000000"/>
              <w:right w:val="single" w:sz="4" w:space="0" w:color="000000"/>
            </w:tcBorders>
            <w:hideMark/>
          </w:tcPr>
          <w:p w14:paraId="74FD3021"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R002</w:t>
            </w:r>
          </w:p>
        </w:tc>
        <w:tc>
          <w:tcPr>
            <w:tcW w:w="2520" w:type="dxa"/>
            <w:tcBorders>
              <w:top w:val="single" w:sz="4" w:space="0" w:color="000000"/>
              <w:left w:val="single" w:sz="4" w:space="0" w:color="000000"/>
              <w:bottom w:val="single" w:sz="4" w:space="0" w:color="000000"/>
              <w:right w:val="single" w:sz="4" w:space="0" w:color="000000"/>
            </w:tcBorders>
            <w:hideMark/>
          </w:tcPr>
          <w:p w14:paraId="302C5E38"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Implement annual security awareness training and maintain completion records.</w:t>
            </w:r>
          </w:p>
        </w:tc>
        <w:tc>
          <w:tcPr>
            <w:tcW w:w="2520" w:type="dxa"/>
            <w:tcBorders>
              <w:top w:val="single" w:sz="4" w:space="0" w:color="000000"/>
              <w:left w:val="single" w:sz="4" w:space="0" w:color="000000"/>
              <w:bottom w:val="single" w:sz="4" w:space="0" w:color="000000"/>
              <w:right w:val="single" w:sz="4" w:space="0" w:color="000000"/>
            </w:tcBorders>
            <w:hideMark/>
          </w:tcPr>
          <w:p w14:paraId="31276A7A"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IT Security</w:t>
            </w:r>
          </w:p>
        </w:tc>
      </w:tr>
      <w:tr w:rsidR="000F2786" w:rsidRPr="0070155A" w14:paraId="5D4EEDAE" w14:textId="77777777">
        <w:tc>
          <w:tcPr>
            <w:tcW w:w="2520" w:type="dxa"/>
            <w:tcBorders>
              <w:top w:val="single" w:sz="4" w:space="0" w:color="000000"/>
              <w:left w:val="single" w:sz="4" w:space="0" w:color="000000"/>
              <w:bottom w:val="single" w:sz="4" w:space="0" w:color="000000"/>
              <w:right w:val="single" w:sz="4" w:space="0" w:color="000000"/>
            </w:tcBorders>
            <w:hideMark/>
          </w:tcPr>
          <w:p w14:paraId="5BE4A797"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High</w:t>
            </w:r>
          </w:p>
        </w:tc>
        <w:tc>
          <w:tcPr>
            <w:tcW w:w="2520" w:type="dxa"/>
            <w:tcBorders>
              <w:top w:val="single" w:sz="4" w:space="0" w:color="000000"/>
              <w:left w:val="single" w:sz="4" w:space="0" w:color="000000"/>
              <w:bottom w:val="single" w:sz="4" w:space="0" w:color="000000"/>
              <w:right w:val="single" w:sz="4" w:space="0" w:color="000000"/>
            </w:tcBorders>
            <w:hideMark/>
          </w:tcPr>
          <w:p w14:paraId="6DFE398C"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R004</w:t>
            </w:r>
          </w:p>
        </w:tc>
        <w:tc>
          <w:tcPr>
            <w:tcW w:w="2520" w:type="dxa"/>
            <w:tcBorders>
              <w:top w:val="single" w:sz="4" w:space="0" w:color="000000"/>
              <w:left w:val="single" w:sz="4" w:space="0" w:color="000000"/>
              <w:bottom w:val="single" w:sz="4" w:space="0" w:color="000000"/>
              <w:right w:val="single" w:sz="4" w:space="0" w:color="000000"/>
            </w:tcBorders>
            <w:hideMark/>
          </w:tcPr>
          <w:p w14:paraId="4CF2AD10"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Establish a documented IT/HR termination workflow and reconcile terminated employees against active accounts.</w:t>
            </w:r>
          </w:p>
        </w:tc>
        <w:tc>
          <w:tcPr>
            <w:tcW w:w="2520" w:type="dxa"/>
            <w:tcBorders>
              <w:top w:val="single" w:sz="4" w:space="0" w:color="000000"/>
              <w:left w:val="single" w:sz="4" w:space="0" w:color="000000"/>
              <w:bottom w:val="single" w:sz="4" w:space="0" w:color="000000"/>
              <w:right w:val="single" w:sz="4" w:space="0" w:color="000000"/>
            </w:tcBorders>
            <w:hideMark/>
          </w:tcPr>
          <w:p w14:paraId="14E62CBC"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IT Security</w:t>
            </w:r>
          </w:p>
        </w:tc>
      </w:tr>
      <w:tr w:rsidR="000F2786" w:rsidRPr="0070155A" w14:paraId="66CF49F2" w14:textId="77777777">
        <w:tc>
          <w:tcPr>
            <w:tcW w:w="2520" w:type="dxa"/>
            <w:tcBorders>
              <w:top w:val="single" w:sz="4" w:space="0" w:color="000000"/>
              <w:left w:val="single" w:sz="4" w:space="0" w:color="000000"/>
              <w:bottom w:val="single" w:sz="4" w:space="0" w:color="000000"/>
              <w:right w:val="single" w:sz="4" w:space="0" w:color="000000"/>
            </w:tcBorders>
            <w:hideMark/>
          </w:tcPr>
          <w:p w14:paraId="38010DB2"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High</w:t>
            </w:r>
          </w:p>
        </w:tc>
        <w:tc>
          <w:tcPr>
            <w:tcW w:w="2520" w:type="dxa"/>
            <w:tcBorders>
              <w:top w:val="single" w:sz="4" w:space="0" w:color="000000"/>
              <w:left w:val="single" w:sz="4" w:space="0" w:color="000000"/>
              <w:bottom w:val="single" w:sz="4" w:space="0" w:color="000000"/>
              <w:right w:val="single" w:sz="4" w:space="0" w:color="000000"/>
            </w:tcBorders>
            <w:hideMark/>
          </w:tcPr>
          <w:p w14:paraId="1B772535"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R005</w:t>
            </w:r>
          </w:p>
        </w:tc>
        <w:tc>
          <w:tcPr>
            <w:tcW w:w="2520" w:type="dxa"/>
            <w:tcBorders>
              <w:top w:val="single" w:sz="4" w:space="0" w:color="000000"/>
              <w:left w:val="single" w:sz="4" w:space="0" w:color="000000"/>
              <w:bottom w:val="single" w:sz="4" w:space="0" w:color="000000"/>
              <w:right w:val="single" w:sz="4" w:space="0" w:color="000000"/>
            </w:tcBorders>
            <w:hideMark/>
          </w:tcPr>
          <w:p w14:paraId="44DB16EE"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Conduct and document quarterly Azure configuration reviews and retain the results as audit evidence.</w:t>
            </w:r>
          </w:p>
        </w:tc>
        <w:tc>
          <w:tcPr>
            <w:tcW w:w="2520" w:type="dxa"/>
            <w:tcBorders>
              <w:top w:val="single" w:sz="4" w:space="0" w:color="000000"/>
              <w:left w:val="single" w:sz="4" w:space="0" w:color="000000"/>
              <w:bottom w:val="single" w:sz="4" w:space="0" w:color="000000"/>
              <w:right w:val="single" w:sz="4" w:space="0" w:color="000000"/>
            </w:tcBorders>
            <w:hideMark/>
          </w:tcPr>
          <w:p w14:paraId="240B768A"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Cloud Security</w:t>
            </w:r>
          </w:p>
        </w:tc>
      </w:tr>
    </w:tbl>
    <w:p w14:paraId="3954C37F" w14:textId="77777777" w:rsidR="000F2786" w:rsidRPr="00A420A5" w:rsidRDefault="000F2786" w:rsidP="000F2786">
      <w:pPr>
        <w:rPr>
          <w:rFonts w:ascii="Times New Roman" w:hAnsi="Times New Roman" w:cs="Times New Roman"/>
          <w:color w:val="156082" w:themeColor="accent1"/>
        </w:rPr>
      </w:pPr>
      <w:r w:rsidRPr="00A420A5">
        <w:rPr>
          <w:rFonts w:ascii="Times New Roman" w:hAnsi="Times New Roman" w:cs="Times New Roman"/>
          <w:b/>
          <w:bCs/>
          <w:color w:val="156082" w:themeColor="accent1"/>
        </w:rPr>
        <w:t>9. Remediation Tracking</w:t>
      </w:r>
    </w:p>
    <w:p w14:paraId="03DCBF46"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 xml:space="preserve">All identified findings should remain open until the </w:t>
      </w:r>
      <w:proofErr w:type="gramStart"/>
      <w:r w:rsidRPr="0070155A">
        <w:rPr>
          <w:rFonts w:ascii="Times New Roman" w:hAnsi="Times New Roman" w:cs="Times New Roman"/>
        </w:rPr>
        <w:t>responsible owner</w:t>
      </w:r>
      <w:proofErr w:type="gramEnd"/>
      <w:r w:rsidRPr="0070155A">
        <w:rPr>
          <w:rFonts w:ascii="Times New Roman" w:hAnsi="Times New Roman" w:cs="Times New Roman"/>
        </w:rPr>
        <w:t xml:space="preserve"> completes the recommended remediation and provides supporting evidence. GRC personnel should validate the evidence, update the finding status, and retain documentation for future audits.</w:t>
      </w:r>
    </w:p>
    <w:p w14:paraId="46A295A1"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F001 — Incomplete access reviews — High — Open</w:t>
      </w:r>
    </w:p>
    <w:p w14:paraId="665319FA"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F002 — Missing training records — Medium — Open</w:t>
      </w:r>
    </w:p>
    <w:p w14:paraId="1D187985"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F003 — Delayed account termination — High — Open</w:t>
      </w:r>
    </w:p>
    <w:p w14:paraId="4EFA93CB"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 xml:space="preserve">F004 — No Azure </w:t>
      </w:r>
      <w:proofErr w:type="gramStart"/>
      <w:r w:rsidRPr="0070155A">
        <w:rPr>
          <w:rFonts w:ascii="Times New Roman" w:hAnsi="Times New Roman" w:cs="Times New Roman"/>
        </w:rPr>
        <w:t>review evidence —</w:t>
      </w:r>
      <w:proofErr w:type="gramEnd"/>
      <w:r w:rsidRPr="0070155A">
        <w:rPr>
          <w:rFonts w:ascii="Times New Roman" w:hAnsi="Times New Roman" w:cs="Times New Roman"/>
        </w:rPr>
        <w:t xml:space="preserve"> High — Open</w:t>
      </w:r>
    </w:p>
    <w:p w14:paraId="7E04C096" w14:textId="77777777" w:rsidR="000F2786" w:rsidRPr="00A420A5" w:rsidRDefault="000F2786" w:rsidP="000F2786">
      <w:pPr>
        <w:rPr>
          <w:rFonts w:ascii="Times New Roman" w:hAnsi="Times New Roman" w:cs="Times New Roman"/>
          <w:color w:val="156082" w:themeColor="accent1"/>
        </w:rPr>
      </w:pPr>
      <w:r w:rsidRPr="00A420A5">
        <w:rPr>
          <w:rFonts w:ascii="Times New Roman" w:hAnsi="Times New Roman" w:cs="Times New Roman"/>
          <w:b/>
          <w:bCs/>
          <w:color w:val="156082" w:themeColor="accent1"/>
        </w:rPr>
        <w:t>10. Conclusion</w:t>
      </w:r>
    </w:p>
    <w:p w14:paraId="175D45A3"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 xml:space="preserve">The simulated assessment identified several opportunities for CarePoint Health Services to strengthen its GRC program. The organization has foundational controls in place, but the assessment demonstrates the importance of consistent control operation, documented evidence, periodic reviews, and formal remediation tracking. Addressing the high-priority findings would </w:t>
      </w:r>
      <w:r w:rsidRPr="0070155A">
        <w:rPr>
          <w:rFonts w:ascii="Times New Roman" w:hAnsi="Times New Roman" w:cs="Times New Roman"/>
        </w:rPr>
        <w:lastRenderedPageBreak/>
        <w:t>improve access governance, reduce the risk of unauthorized access, and provide stronger evidence of security and compliance activities.</w:t>
      </w:r>
    </w:p>
    <w:p w14:paraId="70453D87" w14:textId="77777777" w:rsidR="000F2786" w:rsidRPr="00A420A5" w:rsidRDefault="000F2786" w:rsidP="000F2786">
      <w:pPr>
        <w:rPr>
          <w:rFonts w:ascii="Times New Roman" w:hAnsi="Times New Roman" w:cs="Times New Roman"/>
          <w:color w:val="156082" w:themeColor="accent1"/>
        </w:rPr>
      </w:pPr>
      <w:r w:rsidRPr="00A420A5">
        <w:rPr>
          <w:rFonts w:ascii="Times New Roman" w:hAnsi="Times New Roman" w:cs="Times New Roman"/>
          <w:b/>
          <w:bCs/>
          <w:color w:val="156082" w:themeColor="accent1"/>
        </w:rPr>
        <w:t>11. Portfolio Note</w:t>
      </w:r>
    </w:p>
    <w:p w14:paraId="2B56508A" w14:textId="77777777" w:rsidR="000F2786" w:rsidRPr="0070155A" w:rsidRDefault="000F2786" w:rsidP="000F2786">
      <w:pPr>
        <w:rPr>
          <w:rFonts w:ascii="Times New Roman" w:hAnsi="Times New Roman" w:cs="Times New Roman"/>
        </w:rPr>
      </w:pPr>
      <w:r w:rsidRPr="0070155A">
        <w:rPr>
          <w:rFonts w:ascii="Times New Roman" w:hAnsi="Times New Roman" w:cs="Times New Roman"/>
        </w:rPr>
        <w:t>This document is a simulated GRC portfolio project created for educational and professional development purposes. CarePoint Health Services is fictional, and the findings, evidence, systems, and assessment results are simulated. No real patient, employee, or organizational data was used.</w:t>
      </w:r>
    </w:p>
    <w:p w14:paraId="295C9893" w14:textId="77777777" w:rsidR="000F2786" w:rsidRPr="00A420A5" w:rsidRDefault="000F2786" w:rsidP="000F2786">
      <w:pPr>
        <w:rPr>
          <w:rFonts w:ascii="Times New Roman" w:hAnsi="Times New Roman" w:cs="Times New Roman"/>
          <w:b/>
          <w:bCs/>
          <w:color w:val="156082" w:themeColor="accent1"/>
        </w:rPr>
      </w:pPr>
      <w:r w:rsidRPr="00A420A5">
        <w:rPr>
          <w:rFonts w:ascii="Times New Roman" w:hAnsi="Times New Roman" w:cs="Times New Roman"/>
          <w:b/>
          <w:bCs/>
          <w:color w:val="156082" w:themeColor="accent1"/>
        </w:rPr>
        <w:t>Simulated Portfolio Project</w:t>
      </w:r>
    </w:p>
    <w:p w14:paraId="41C1F9EB" w14:textId="77777777" w:rsidR="004909E1" w:rsidRDefault="004909E1"/>
    <w:sectPr w:rsidR="004909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8479C"/>
    <w:multiLevelType w:val="multilevel"/>
    <w:tmpl w:val="BF64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802EB9"/>
    <w:multiLevelType w:val="multilevel"/>
    <w:tmpl w:val="62BA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372687">
    <w:abstractNumId w:val="1"/>
  </w:num>
  <w:num w:numId="2" w16cid:durableId="581959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1B7"/>
    <w:rsid w:val="00002044"/>
    <w:rsid w:val="000A51C6"/>
    <w:rsid w:val="000F2786"/>
    <w:rsid w:val="003244E7"/>
    <w:rsid w:val="004909E1"/>
    <w:rsid w:val="0070155A"/>
    <w:rsid w:val="00750406"/>
    <w:rsid w:val="00A35EFA"/>
    <w:rsid w:val="00A420A5"/>
    <w:rsid w:val="00D30BE5"/>
    <w:rsid w:val="00DE41B7"/>
    <w:rsid w:val="00FD2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539C3"/>
  <w15:chartTrackingRefBased/>
  <w15:docId w15:val="{D17CCD27-9D35-46BB-942B-86840BD1A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1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41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1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1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1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1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1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1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1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1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41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1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1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1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1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1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1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1B7"/>
    <w:rPr>
      <w:rFonts w:eastAsiaTheme="majorEastAsia" w:cstheme="majorBidi"/>
      <w:color w:val="272727" w:themeColor="text1" w:themeTint="D8"/>
    </w:rPr>
  </w:style>
  <w:style w:type="paragraph" w:styleId="Title">
    <w:name w:val="Title"/>
    <w:basedOn w:val="Normal"/>
    <w:next w:val="Normal"/>
    <w:link w:val="TitleChar"/>
    <w:uiPriority w:val="10"/>
    <w:qFormat/>
    <w:rsid w:val="00DE4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1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1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1B7"/>
    <w:pPr>
      <w:spacing w:before="160"/>
      <w:jc w:val="center"/>
    </w:pPr>
    <w:rPr>
      <w:i/>
      <w:iCs/>
      <w:color w:val="404040" w:themeColor="text1" w:themeTint="BF"/>
    </w:rPr>
  </w:style>
  <w:style w:type="character" w:customStyle="1" w:styleId="QuoteChar">
    <w:name w:val="Quote Char"/>
    <w:basedOn w:val="DefaultParagraphFont"/>
    <w:link w:val="Quote"/>
    <w:uiPriority w:val="29"/>
    <w:rsid w:val="00DE41B7"/>
    <w:rPr>
      <w:i/>
      <w:iCs/>
      <w:color w:val="404040" w:themeColor="text1" w:themeTint="BF"/>
    </w:rPr>
  </w:style>
  <w:style w:type="paragraph" w:styleId="ListParagraph">
    <w:name w:val="List Paragraph"/>
    <w:basedOn w:val="Normal"/>
    <w:uiPriority w:val="34"/>
    <w:qFormat/>
    <w:rsid w:val="00DE41B7"/>
    <w:pPr>
      <w:ind w:left="720"/>
      <w:contextualSpacing/>
    </w:pPr>
  </w:style>
  <w:style w:type="character" w:styleId="IntenseEmphasis">
    <w:name w:val="Intense Emphasis"/>
    <w:basedOn w:val="DefaultParagraphFont"/>
    <w:uiPriority w:val="21"/>
    <w:qFormat/>
    <w:rsid w:val="00DE41B7"/>
    <w:rPr>
      <w:i/>
      <w:iCs/>
      <w:color w:val="0F4761" w:themeColor="accent1" w:themeShade="BF"/>
    </w:rPr>
  </w:style>
  <w:style w:type="paragraph" w:styleId="IntenseQuote">
    <w:name w:val="Intense Quote"/>
    <w:basedOn w:val="Normal"/>
    <w:next w:val="Normal"/>
    <w:link w:val="IntenseQuoteChar"/>
    <w:uiPriority w:val="30"/>
    <w:qFormat/>
    <w:rsid w:val="00DE4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1B7"/>
    <w:rPr>
      <w:i/>
      <w:iCs/>
      <w:color w:val="0F4761" w:themeColor="accent1" w:themeShade="BF"/>
    </w:rPr>
  </w:style>
  <w:style w:type="character" w:styleId="IntenseReference">
    <w:name w:val="Intense Reference"/>
    <w:basedOn w:val="DefaultParagraphFont"/>
    <w:uiPriority w:val="32"/>
    <w:qFormat/>
    <w:rsid w:val="00DE41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5</Pages>
  <Words>953</Words>
  <Characters>5434</Characters>
  <Application>Microsoft Office Word</Application>
  <DocSecurity>0</DocSecurity>
  <Lines>45</Lines>
  <Paragraphs>12</Paragraphs>
  <ScaleCrop>false</ScaleCrop>
  <Company/>
  <LinksUpToDate>false</LinksUpToDate>
  <CharactersWithSpaces>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Overton</dc:creator>
  <cp:keywords/>
  <dc:description/>
  <cp:lastModifiedBy>david Overton</cp:lastModifiedBy>
  <cp:revision>10</cp:revision>
  <dcterms:created xsi:type="dcterms:W3CDTF">2026-09-28T14:41:00Z</dcterms:created>
  <dcterms:modified xsi:type="dcterms:W3CDTF">2026-10-05T15:01:00Z</dcterms:modified>
</cp:coreProperties>
</file>