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0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директорию для проведения лабораторной работы № 9, перешел в неё и сформировал файл lab9-1.asm.</w:t>
      </w:r>
    </w:p>
    <w:p>
      <w:pPr>
        <w:numPr>
          <w:ilvl w:val="0"/>
          <w:numId w:val="1001"/>
        </w:numPr>
      </w:pPr>
      <w:r>
        <w:t xml:space="preserve">Возьмем для анализа программу, предназначенную для вычисления функции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применением вспомогательной функции calcul. В этом случае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получаем через ввод с клавиатуры, а расчет выражения осуществляется внутри вспомогательной функции.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5077968"/>
            <wp:effectExtent b="0" l="0" r="0" t="0"/>
            <wp:docPr descr="Figure 1: Программа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Программа lab9-1.asm</w:t>
      </w:r>
    </w:p>
    <w:bookmarkEnd w:id="0"/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1088424"/>
            <wp:effectExtent b="0" l="0" r="0" t="0"/>
            <wp:docPr descr="Figure 2: 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Запуск программы lab9-1.asm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Изменил код программы, включив вспомогательную функцию subcalcul в функцию calcul для определения значения составной функции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 ввод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происходит с клавиатуры 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4456496" cy="5832909"/>
            <wp:effectExtent b="0" l="0" r="0" t="0"/>
            <wp:docPr descr="Figure 3: Программа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583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Программа lab9-1.asm</w:t>
      </w:r>
    </w:p>
    <w:bookmarkEnd w:id="0"/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837271"/>
            <wp:effectExtent b="0" l="0" r="0" t="0"/>
            <wp:docPr descr="Figure 4: 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Запуск программы lab9-1.asm</w:t>
      </w:r>
    </w:p>
    <w:bookmarkEnd w:id="0"/>
    <w:p>
      <w:pPr>
        <w:numPr>
          <w:ilvl w:val="0"/>
          <w:numId w:val="1003"/>
        </w:numPr>
        <w:pStyle w:val="Compact"/>
      </w:pPr>
      <w:r>
        <w:t xml:space="preserve">Сформировал файл lab9-2.asm, содержащий код программы из Примера 9.2. (Программа выводит на экран сообщение Hello world!).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4880008" cy="4841507"/>
            <wp:effectExtent b="0" l="0" r="0" t="0"/>
            <wp:docPr descr="Figure 5: Программа lab9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484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Программа lab9-2.asm</w:t>
      </w:r>
    </w:p>
    <w:bookmarkEnd w:id="0"/>
    <w:p>
      <w:pPr>
        <w:pStyle w:val="BodyText"/>
      </w:pPr>
      <w:r>
        <w:t xml:space="preserve">Скомпилировал исходный код в исполняемый файл. Для отладки средствами GDB в исполняемый файл нужно включить отладочную информацию, что достигается компиляцией с опцией</w:t>
      </w:r>
      <w:r>
        <w:t xml:space="preserve"> </w:t>
      </w:r>
      <w:r>
        <w:t xml:space="preserve">‘</w:t>
      </w:r>
      <w:r>
        <w:t xml:space="preserve">-g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Запустил исполняемый файл в отладчике gdb.</w:t>
      </w:r>
      <w:r>
        <w:t xml:space="preserve"> </w:t>
      </w:r>
      <w:r>
        <w:t xml:space="preserve">Проверил функционирование программы, выполнив её в среде GDB с помощью команды run (или r).</w:t>
      </w:r>
    </w:p>
    <w:bookmarkStart w:id="0" w:name="fig:006"/>
    <w:p>
      <w:pPr>
        <w:pStyle w:val="CaptionedFigure"/>
      </w:pPr>
      <w:bookmarkStart w:id="44" w:name="fig:006"/>
      <w:r>
        <w:drawing>
          <wp:inline>
            <wp:extent cx="5334000" cy="3036780"/>
            <wp:effectExtent b="0" l="0" r="0" t="0"/>
            <wp:docPr descr="Figure 6: Запуск программы lab9-2.asm в отладчике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Запуск программы lab9-2.asm в отладчике</w:t>
      </w:r>
    </w:p>
    <w:bookmarkEnd w:id="0"/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дизассемблированный код программы.</w:t>
      </w:r>
    </w:p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4283063"/>
            <wp:effectExtent b="0" l="0" r="0" t="0"/>
            <wp:docPr descr="Figure 7: Дизассемблированный код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Дизассемблированный код</w:t>
      </w:r>
    </w:p>
    <w:bookmarkEnd w:id="0"/>
    <w:bookmarkStart w:id="0" w:name="fig:008"/>
    <w:p>
      <w:pPr>
        <w:pStyle w:val="CaptionedFigure"/>
      </w:pPr>
      <w:bookmarkStart w:id="52" w:name="fig:008"/>
      <w:r>
        <w:drawing>
          <wp:inline>
            <wp:extent cx="5334000" cy="4470138"/>
            <wp:effectExtent b="0" l="0" r="0" t="0"/>
            <wp:docPr descr="Figure 8: Дизассемблированный код в режиме интел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Дизассемблированный код в режиме интел</w:t>
      </w:r>
    </w:p>
    <w:bookmarkEnd w:id="0"/>
    <w:p>
      <w:pPr>
        <w:pStyle w:val="BodyText"/>
      </w:pPr>
      <w:r>
        <w:t xml:space="preserve">В прошлых этапах была определена точка остановки с именем метки (_start).</w:t>
      </w:r>
      <w:r>
        <w:t xml:space="preserve"> </w:t>
      </w:r>
      <w:r>
        <w:t xml:space="preserve">Для проверки использовал команду info breakpoints (или сокращенно i b).</w:t>
      </w:r>
      <w:r>
        <w:t xml:space="preserve"> </w:t>
      </w:r>
      <w:r>
        <w:t xml:space="preserve">Затем задал дополнительную точку остановки на конкретный адрес инструкции.</w:t>
      </w:r>
      <w:r>
        <w:t xml:space="preserve"> </w:t>
      </w:r>
      <w:r>
        <w:t xml:space="preserve">Чтобы увидеть адрес инструкции, посмотрел на центральную часть экрана, где в левом столбце отображается адрес нужной инструкции. Выбрал адрес для инструкции перед последней (mov ebx,0x0) и установил на нем точку остановки.</w:t>
      </w:r>
    </w:p>
    <w:bookmarkStart w:id="0" w:name="fig:009"/>
    <w:p>
      <w:pPr>
        <w:pStyle w:val="CaptionedFigure"/>
      </w:pPr>
      <w:bookmarkStart w:id="56" w:name="fig:009"/>
      <w:r>
        <w:drawing>
          <wp:inline>
            <wp:extent cx="5334000" cy="4342550"/>
            <wp:effectExtent b="0" l="0" r="0" t="0"/>
            <wp:docPr descr="Figure 9: Точка останов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9: Точка остановки</w:t>
      </w:r>
    </w:p>
    <w:bookmarkEnd w:id="0"/>
    <w:p>
      <w:pPr>
        <w:pStyle w:val="BodyText"/>
      </w:pPr>
      <w:r>
        <w:t xml:space="preserve">Отладчик предоставляет возможность просмотра содержимого памяти и регистров, а также позволяет ручное редактирование значений регистров и переменных.</w:t>
      </w:r>
      <w:r>
        <w:t xml:space="preserve"> </w:t>
      </w:r>
      <w:r>
        <w:t xml:space="preserve">С помощью команды stepi (или si) выполнил пять инструкций, следя за изменениями в значениях регистров.</w:t>
      </w:r>
    </w:p>
    <w:bookmarkStart w:id="0" w:name="fig:010"/>
    <w:p>
      <w:pPr>
        <w:pStyle w:val="CaptionedFigure"/>
      </w:pPr>
      <w:bookmarkStart w:id="60" w:name="fig:010"/>
      <w:r>
        <w:drawing>
          <wp:inline>
            <wp:extent cx="5334000" cy="4349670"/>
            <wp:effectExtent b="0" l="0" r="0" t="0"/>
            <wp:docPr descr="Figure 10: Изменение регистров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10: Изменение регистров</w:t>
      </w:r>
    </w:p>
    <w:bookmarkEnd w:id="0"/>
    <w:bookmarkStart w:id="0" w:name="fig:011"/>
    <w:p>
      <w:pPr>
        <w:pStyle w:val="CaptionedFigure"/>
      </w:pPr>
      <w:bookmarkStart w:id="64" w:name="fig:011"/>
      <w:r>
        <w:drawing>
          <wp:inline>
            <wp:extent cx="5334000" cy="4329718"/>
            <wp:effectExtent b="0" l="0" r="0" t="0"/>
            <wp:docPr descr="Figure 11: Изменение регистр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11: Изменение регистров</w:t>
      </w:r>
    </w:p>
    <w:bookmarkEnd w:id="0"/>
    <w:p>
      <w:pPr>
        <w:pStyle w:val="BodyText"/>
      </w:pPr>
      <w:r>
        <w:t xml:space="preserve">Ознакомился со значением переменной msg1, используя ее имя.</w:t>
      </w:r>
      <w:r>
        <w:t xml:space="preserve"> </w:t>
      </w:r>
      <w:r>
        <w:t xml:space="preserve">Просмотрел содержимое переменной msg2 по ее адресу.</w:t>
      </w:r>
    </w:p>
    <w:p>
      <w:pPr>
        <w:pStyle w:val="BodyText"/>
      </w:pPr>
      <w:r>
        <w:t xml:space="preserve">Для изменения значений регистров или памяти применил команду set, указав в аргументах имя регистра или адрес памяти.</w:t>
      </w:r>
      <w:r>
        <w:t xml:space="preserve"> </w:t>
      </w:r>
      <w:r>
        <w:t xml:space="preserve">Изменил первый символ в переменной msg1.</w:t>
      </w:r>
    </w:p>
    <w:bookmarkStart w:id="0" w:name="fig:012"/>
    <w:p>
      <w:pPr>
        <w:pStyle w:val="CaptionedFigure"/>
      </w:pPr>
      <w:bookmarkStart w:id="68" w:name="fig:012"/>
      <w:r>
        <w:drawing>
          <wp:inline>
            <wp:extent cx="5334000" cy="4292254"/>
            <wp:effectExtent b="0" l="0" r="0" t="0"/>
            <wp:docPr descr="Figure 12: Изменение значения переменной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 12: Изменение значения переменной</w:t>
      </w:r>
    </w:p>
    <w:bookmarkEnd w:id="0"/>
    <w:p>
      <w:pPr>
        <w:pStyle w:val="BodyText"/>
      </w:pPr>
      <w:r>
        <w:t xml:space="preserve">Вывел значение регистра edx в разных форматах: шестнадцатеричном, двоичном и символьном.</w:t>
      </w:r>
    </w:p>
    <w:bookmarkStart w:id="0" w:name="fig:013"/>
    <w:p>
      <w:pPr>
        <w:pStyle w:val="CaptionedFigure"/>
      </w:pPr>
      <w:bookmarkStart w:id="72" w:name="fig:013"/>
      <w:r>
        <w:drawing>
          <wp:inline>
            <wp:extent cx="5334000" cy="4254029"/>
            <wp:effectExtent b="0" l="0" r="0" t="0"/>
            <wp:docPr descr="Figure 13: Вывод значения регистра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Figure 13: Вывод значения регистра</w:t>
      </w:r>
    </w:p>
    <w:bookmarkEnd w:id="0"/>
    <w:p>
      <w:pPr>
        <w:pStyle w:val="BodyText"/>
      </w:pPr>
      <w:r>
        <w:t xml:space="preserve">Используя команду set, модифицировал значение в регистре ebx.</w:t>
      </w:r>
    </w:p>
    <w:bookmarkStart w:id="0" w:name="fig:014"/>
    <w:p>
      <w:pPr>
        <w:pStyle w:val="CaptionedFigure"/>
      </w:pPr>
      <w:bookmarkStart w:id="76" w:name="fig:014"/>
      <w:r>
        <w:drawing>
          <wp:inline>
            <wp:extent cx="5334000" cy="4298847"/>
            <wp:effectExtent b="0" l="0" r="0" t="0"/>
            <wp:docPr descr="Figure 14: Вывод значения регистр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Figure 14: Вывод значения регистра</w:t>
      </w:r>
    </w:p>
    <w:bookmarkEnd w:id="0"/>
    <w:p>
      <w:pPr>
        <w:numPr>
          <w:ilvl w:val="0"/>
          <w:numId w:val="1004"/>
        </w:numPr>
        <w:pStyle w:val="Compact"/>
      </w:pPr>
      <w:r>
        <w:t xml:space="preserve">Произвел копирование файла lab8-2.asm, который был создан в ходе выполнения лабораторной работы №8 и содержит программу для отображения аргументов командной строки на экране, после чего скомпилировал его в исполняемый файл. Для загрузки исполняемого файла в отладчик gdb с аргументами командной строки применил опцию –args. После этого загрузил программу в отладчик, указав необходимые аргументы.</w:t>
      </w:r>
    </w:p>
    <w:p>
      <w:pPr>
        <w:pStyle w:val="FirstParagraph"/>
      </w:pPr>
      <w:r>
        <w:t xml:space="preserve">Установил точку прерывания на начало исполнения программы и начал выполнение.</w:t>
      </w:r>
    </w:p>
    <w:p>
      <w:pPr>
        <w:pStyle w:val="BodyText"/>
      </w:pPr>
      <w:r>
        <w:t xml:space="preserve">Регистр esp содержит адрес вершины стека, где находится количество аргументов командной строки (включая само имя программы). В данном случае обнаружил, что число аргументов составляет 5, включая имя программы lab9-3 и аргументы: аргумент1, аргумент2 и</w:t>
      </w:r>
      <w:r>
        <w:t xml:space="preserve"> </w:t>
      </w:r>
      <w:r>
        <w:t xml:space="preserve">‘</w:t>
      </w:r>
      <w:r>
        <w:t xml:space="preserve">аргумент 3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Изучил адреса в стеке: по адресу [esp+4] находится указатель на имя программы, по адресу [esp+8] – на первый аргумент, а по адресу [esp+12] – на второй и так далее.</w:t>
      </w:r>
    </w:p>
    <w:bookmarkStart w:id="0" w:name="fig:015"/>
    <w:p>
      <w:pPr>
        <w:pStyle w:val="CaptionedFigure"/>
      </w:pPr>
      <w:bookmarkStart w:id="80" w:name="fig:015"/>
      <w:r>
        <w:drawing>
          <wp:inline>
            <wp:extent cx="5334000" cy="4271160"/>
            <wp:effectExtent b="0" l="0" r="0" t="0"/>
            <wp:docPr descr="Figure 15: Вывод значения регистр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Figure 15: Вывод значения регистра</w:t>
      </w:r>
    </w:p>
    <w:bookmarkEnd w:id="0"/>
    <w:p>
      <w:pPr>
        <w:pStyle w:val="BodyText"/>
      </w:pPr>
      <w:r>
        <w:t xml:space="preserve">Размер шага изменения адреса ([esp+4], [esp+8], [esp+12]) составляет 4 байта, что соответствует размеру хранящейся переменной.</w:t>
      </w:r>
    </w:p>
    <w:p>
      <w:pPr>
        <w:numPr>
          <w:ilvl w:val="0"/>
          <w:numId w:val="1005"/>
        </w:numPr>
        <w:pStyle w:val="Compact"/>
      </w:pPr>
      <w:r>
        <w:t xml:space="preserve">Модифицировал программу из лабораторной работы №8 (самостоятельное задание №1), внедрив функцию вычисления значения функции f(x) в виде отдельной подпрограммы.</w:t>
      </w:r>
    </w:p>
    <w:bookmarkStart w:id="0" w:name="fig:016"/>
    <w:p>
      <w:pPr>
        <w:pStyle w:val="CaptionedFigure"/>
      </w:pPr>
      <w:bookmarkStart w:id="84" w:name="fig:016"/>
      <w:r>
        <w:drawing>
          <wp:inline>
            <wp:extent cx="4735629" cy="5890661"/>
            <wp:effectExtent b="0" l="0" r="0" t="0"/>
            <wp:docPr descr="Figure 16: Программа lab9-4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589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Figure 16: Программа lab9-4.asm</w:t>
      </w:r>
    </w:p>
    <w:bookmarkEnd w:id="0"/>
    <w:bookmarkStart w:id="0" w:name="fig:017"/>
    <w:p>
      <w:pPr>
        <w:pStyle w:val="CaptionedFigure"/>
      </w:pPr>
      <w:bookmarkStart w:id="88" w:name="fig:017"/>
      <w:r>
        <w:drawing>
          <wp:inline>
            <wp:extent cx="5334000" cy="1250045"/>
            <wp:effectExtent b="0" l="0" r="0" t="0"/>
            <wp:docPr descr="Figure 17: Запуск программы lab9-4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Figure 17: Запуск программы lab9-4.asm</w:t>
      </w:r>
    </w:p>
    <w:bookmarkEnd w:id="0"/>
    <w:p>
      <w:pPr>
        <w:numPr>
          <w:ilvl w:val="0"/>
          <w:numId w:val="1006"/>
        </w:numPr>
        <w:pStyle w:val="Compact"/>
      </w:pPr>
      <w:r>
        <w:t xml:space="preserve">В представленном списке команд находится код для расчета выражения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После его выполнения результат оказался некорректным, что я убедился лично.</w:t>
      </w:r>
      <w:r>
        <w:t xml:space="preserve"> </w:t>
      </w:r>
      <w:r>
        <w:t xml:space="preserve">Используя отладчик GDB и наблюдая за изменениями в регистрах,</w:t>
      </w:r>
      <w:r>
        <w:t xml:space="preserve"> </w:t>
      </w:r>
      <w:r>
        <w:t xml:space="preserve">я выявлю причину ошибки и внесу соответствующие корректировки.</w:t>
      </w:r>
    </w:p>
    <w:bookmarkStart w:id="0" w:name="fig:018"/>
    <w:p>
      <w:pPr>
        <w:pStyle w:val="CaptionedFigure"/>
      </w:pPr>
      <w:bookmarkStart w:id="92" w:name="fig:018"/>
      <w:r>
        <w:drawing>
          <wp:inline>
            <wp:extent cx="5334000" cy="4601882"/>
            <wp:effectExtent b="0" l="0" r="0" t="0"/>
            <wp:docPr descr="Figure 18: Код с ошибкой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Figure 18: Код с ошибкой</w:t>
      </w:r>
    </w:p>
    <w:bookmarkEnd w:id="0"/>
    <w:bookmarkStart w:id="0" w:name="fig:019"/>
    <w:p>
      <w:pPr>
        <w:pStyle w:val="CaptionedFigure"/>
      </w:pPr>
      <w:bookmarkStart w:id="96" w:name="fig:019"/>
      <w:r>
        <w:drawing>
          <wp:inline>
            <wp:extent cx="5334000" cy="4271160"/>
            <wp:effectExtent b="0" l="0" r="0" t="0"/>
            <wp:docPr descr="Figure 19: Отладка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Figure 19: Отладка</w:t>
      </w:r>
    </w:p>
    <w:bookmarkEnd w:id="0"/>
    <w:p>
      <w:pPr>
        <w:pStyle w:val="BodyText"/>
      </w:pPr>
      <w:r>
        <w:t xml:space="preserve">Укажу на то, что был неверно задан порядок операндов в инструкции add, а также на то, что в конце выполнения в регистр edi записывается значение из ebx вместо ожидаемого eax.</w:t>
      </w:r>
    </w:p>
    <w:p>
      <w:pPr>
        <w:pStyle w:val="BodyText"/>
      </w:pPr>
      <w:r>
        <w:t xml:space="preserve">Вношу изменения в исходный код программы.</w:t>
      </w:r>
    </w:p>
    <w:bookmarkStart w:id="0" w:name="fig:020"/>
    <w:p>
      <w:pPr>
        <w:pStyle w:val="CaptionedFigure"/>
      </w:pPr>
      <w:bookmarkStart w:id="100" w:name="fig:020"/>
      <w:r>
        <w:drawing>
          <wp:inline>
            <wp:extent cx="4995511" cy="4726004"/>
            <wp:effectExtent b="0" l="0" r="0" t="0"/>
            <wp:docPr descr="Figure 20: Код исправлен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4726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Figure 20: Код исправлен</w:t>
      </w:r>
    </w:p>
    <w:bookmarkEnd w:id="0"/>
    <w:bookmarkStart w:id="0" w:name="fig:021"/>
    <w:p>
      <w:pPr>
        <w:pStyle w:val="CaptionedFigure"/>
      </w:pPr>
      <w:bookmarkStart w:id="104" w:name="fig:021"/>
      <w:r>
        <w:drawing>
          <wp:inline>
            <wp:extent cx="5334000" cy="4248784"/>
            <wp:effectExtent b="0" l="0" r="0" t="0"/>
            <wp:docPr descr="Figure 21: Проверка работы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Figure 21: Проверка работы</w:t>
      </w:r>
    </w:p>
    <w:bookmarkEnd w:id="0"/>
    <w:bookmarkEnd w:id="105"/>
    <w:bookmarkStart w:id="10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Довран Илиев</dc:creator>
  <dc:language>ru-RU</dc:language>
  <cp:keywords/>
  <dcterms:created xsi:type="dcterms:W3CDTF">2023-12-27T13:39:46Z</dcterms:created>
  <dcterms:modified xsi:type="dcterms:W3CDTF">2023-12-27T13:39:46Z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