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Довран</w:t>
      </w:r>
      <w:r>
        <w:t xml:space="preserve"> </w:t>
      </w:r>
      <w:r>
        <w:t xml:space="preserve">Илиев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Установил директорию для файлов лабораторного занятия № 6, переместился в эту директорию и создал файл с именем lab6-1.asm.</w:t>
      </w:r>
    </w:p>
    <w:p>
      <w:pPr>
        <w:numPr>
          <w:ilvl w:val="0"/>
          <w:numId w:val="1001"/>
        </w:numPr>
      </w:pPr>
      <w:r>
        <w:t xml:space="preserve">Проанализируем примеры программ, которые осуществляют вывод символов и чисел. Эти программы будут отображать данные, помещенные в регистр eax.</w:t>
      </w:r>
    </w:p>
    <w:bookmarkStart w:id="0" w:name="fig:001"/>
    <w:p>
      <w:pPr>
        <w:pStyle w:val="CaptionedFigure"/>
      </w:pPr>
      <w:bookmarkStart w:id="24" w:name="fig:001"/>
      <w:r>
        <w:drawing>
          <wp:inline>
            <wp:extent cx="3801978" cy="4417995"/>
            <wp:effectExtent b="0" l="0" r="0" t="0"/>
            <wp:docPr descr="Figure 1: Программа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978" cy="4417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 1: Программа lab6-1.asm</w:t>
      </w:r>
    </w:p>
    <w:bookmarkEnd w:id="0"/>
    <w:bookmarkStart w:id="0" w:name="fig:002"/>
    <w:p>
      <w:pPr>
        <w:pStyle w:val="CaptionedFigure"/>
      </w:pPr>
      <w:bookmarkStart w:id="28" w:name="fig:002"/>
      <w:r>
        <w:drawing>
          <wp:inline>
            <wp:extent cx="5334000" cy="802653"/>
            <wp:effectExtent b="0" l="0" r="0" t="0"/>
            <wp:docPr descr="Figure 2: 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2: Запуск программы lab6-1.asm</w:t>
      </w:r>
    </w:p>
    <w:bookmarkEnd w:id="0"/>
    <w:p>
      <w:pPr>
        <w:numPr>
          <w:ilvl w:val="0"/>
          <w:numId w:val="1002"/>
        </w:numPr>
        <w:pStyle w:val="Compact"/>
      </w:pPr>
      <w:r>
        <w:t xml:space="preserve">Затем модифицирую код программы, подставляя числа вместо символов в регистры.</w:t>
      </w:r>
    </w:p>
    <w:bookmarkStart w:id="0" w:name="fig:003"/>
    <w:p>
      <w:pPr>
        <w:pStyle w:val="CaptionedFigure"/>
      </w:pPr>
      <w:bookmarkStart w:id="32" w:name="fig:003"/>
      <w:r>
        <w:drawing>
          <wp:inline>
            <wp:extent cx="3763477" cy="3878981"/>
            <wp:effectExtent b="0" l="0" r="0" t="0"/>
            <wp:docPr descr="Figure 3: Программа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477" cy="387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 3: Программа lab6-1.asm</w:t>
      </w:r>
    </w:p>
    <w:bookmarkEnd w:id="0"/>
    <w:bookmarkStart w:id="0" w:name="fig:004"/>
    <w:p>
      <w:pPr>
        <w:pStyle w:val="CaptionedFigure"/>
      </w:pPr>
      <w:bookmarkStart w:id="36" w:name="fig:004"/>
      <w:r>
        <w:drawing>
          <wp:inline>
            <wp:extent cx="5334000" cy="901211"/>
            <wp:effectExtent b="0" l="0" r="0" t="0"/>
            <wp:docPr descr="Figure 4: 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1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 4: Запуск программы lab6-1.asm</w:t>
      </w:r>
    </w:p>
    <w:bookmarkEnd w:id="0"/>
    <w:p>
      <w:pPr>
        <w:pStyle w:val="BodyText"/>
      </w:pPr>
      <w:r>
        <w:t xml:space="preserve">Хотя символ не отображается на экране, он присутствует. Это символ перевода строки LF.</w:t>
      </w:r>
    </w:p>
    <w:p>
      <w:pPr>
        <w:numPr>
          <w:ilvl w:val="0"/>
          <w:numId w:val="1003"/>
        </w:numPr>
        <w:pStyle w:val="Compact"/>
      </w:pPr>
      <w:r>
        <w:t xml:space="preserve">Как упоминалось ранее, для манипуляций с числами в файле in_out.asm предусмотрены специальные подпрограммы, которые преобразуют ASCII символы в числовые значения и наоборот.</w:t>
      </w:r>
      <w:r>
        <w:t xml:space="preserve"> </w:t>
      </w:r>
      <w:r>
        <w:t xml:space="preserve">Применил эти функции для преобразования кода программы</w:t>
      </w:r>
    </w:p>
    <w:bookmarkStart w:id="0" w:name="fig:005"/>
    <w:p>
      <w:pPr>
        <w:pStyle w:val="CaptionedFigure"/>
      </w:pPr>
      <w:bookmarkStart w:id="40" w:name="fig:005"/>
      <w:r>
        <w:drawing>
          <wp:inline>
            <wp:extent cx="3551722" cy="2714324"/>
            <wp:effectExtent b="0" l="0" r="0" t="0"/>
            <wp:docPr descr="Figure 5: Программа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22" cy="271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 5: Программа lab6-2.asm</w:t>
      </w:r>
    </w:p>
    <w:bookmarkEnd w:id="0"/>
    <w:bookmarkStart w:id="0" w:name="fig:006"/>
    <w:p>
      <w:pPr>
        <w:pStyle w:val="CaptionedFigure"/>
      </w:pPr>
      <w:bookmarkStart w:id="44" w:name="fig:006"/>
      <w:r>
        <w:drawing>
          <wp:inline>
            <wp:extent cx="5334000" cy="850242"/>
            <wp:effectExtent b="0" l="0" r="0" t="0"/>
            <wp:docPr descr="Figure 6: 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 6: Запуск программы lab6-2.asm</w:t>
      </w:r>
    </w:p>
    <w:bookmarkEnd w:id="0"/>
    <w:p>
      <w:pPr>
        <w:pStyle w:val="BodyText"/>
      </w:pPr>
      <w:r>
        <w:t xml:space="preserve">В результате выполнения программы получаем значение 106. В этом случае, как и в первом примере, команда add суммирует коды символов</w:t>
      </w:r>
      <w:r>
        <w:t xml:space="preserve"> </w:t>
      </w:r>
      <w:r>
        <w:t xml:space="preserve">‘</w:t>
      </w:r>
      <w:r>
        <w:t xml:space="preserve">6</w:t>
      </w:r>
      <w:r>
        <w:t xml:space="preserve">’</w:t>
      </w:r>
      <w:r>
        <w:t xml:space="preserve"> </w:t>
      </w:r>
      <w:r>
        <w:t xml:space="preserve">и</w:t>
      </w:r>
      <w:r>
        <w:t xml:space="preserve"> </w:t>
      </w:r>
      <w:r>
        <w:t xml:space="preserve">‘</w:t>
      </w:r>
      <w:r>
        <w:t xml:space="preserve">4</w:t>
      </w:r>
      <w:r>
        <w:t xml:space="preserve">’</w:t>
      </w:r>
      <w:r>
        <w:t xml:space="preserve"> </w:t>
      </w:r>
      <w:r>
        <w:t xml:space="preserve">(54+52=106). Но в этот раз, в отличие от предыдущей программы, функция iprintLF позволяет отобразить число, а не символ, ASCII код которого соответствует этому числу.</w:t>
      </w:r>
    </w:p>
    <w:p>
      <w:pPr>
        <w:numPr>
          <w:ilvl w:val="0"/>
          <w:numId w:val="1004"/>
        </w:numPr>
        <w:pStyle w:val="Compact"/>
      </w:pPr>
      <w:r>
        <w:t xml:space="preserve">Подобно предшествующему случаю, произведем замену символов на числовые значения.</w:t>
      </w:r>
    </w:p>
    <w:bookmarkStart w:id="0" w:name="fig:007"/>
    <w:p>
      <w:pPr>
        <w:pStyle w:val="CaptionedFigure"/>
      </w:pPr>
      <w:bookmarkStart w:id="48" w:name="fig:007"/>
      <w:r>
        <w:drawing>
          <wp:inline>
            <wp:extent cx="3715351" cy="3214837"/>
            <wp:effectExtent b="0" l="0" r="0" t="0"/>
            <wp:docPr descr="Figure 7: Программа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51" cy="321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 7: Программа lab6-2.asm</w:t>
      </w:r>
    </w:p>
    <w:bookmarkEnd w:id="0"/>
    <w:p>
      <w:pPr>
        <w:pStyle w:val="BodyText"/>
      </w:pPr>
      <w:r>
        <w:t xml:space="preserve">Функция iprintLF дает возможность отобразить число, при этом операнды были числами, а не ASCII кодами символов. Таким образом, результатом является число 10.</w:t>
      </w:r>
    </w:p>
    <w:bookmarkStart w:id="0" w:name="fig:008"/>
    <w:p>
      <w:pPr>
        <w:pStyle w:val="CaptionedFigure"/>
      </w:pPr>
      <w:bookmarkStart w:id="52" w:name="fig:008"/>
      <w:r>
        <w:drawing>
          <wp:inline>
            <wp:extent cx="5334000" cy="742248"/>
            <wp:effectExtent b="0" l="0" r="0" t="0"/>
            <wp:docPr descr="Figure 8: 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 8: Запуск программы lab6-2.asm</w:t>
      </w:r>
    </w:p>
    <w:bookmarkEnd w:id="0"/>
    <w:p>
      <w:pPr>
        <w:pStyle w:val="BodyText"/>
      </w:pPr>
      <w:r>
        <w:t xml:space="preserve">Замена функции iprintLF на iprint приводит к изменению вывода: отсутствует перевод строки.</w:t>
      </w:r>
    </w:p>
    <w:bookmarkStart w:id="0" w:name="fig:009"/>
    <w:p>
      <w:pPr>
        <w:pStyle w:val="CaptionedFigure"/>
      </w:pPr>
      <w:bookmarkStart w:id="56" w:name="fig:009"/>
      <w:r>
        <w:drawing>
          <wp:inline>
            <wp:extent cx="3840479" cy="2906829"/>
            <wp:effectExtent b="0" l="0" r="0" t="0"/>
            <wp:docPr descr="Figure 9: Программа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79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Figure 9: Программа lab6-2.asm</w:t>
      </w:r>
    </w:p>
    <w:bookmarkEnd w:id="0"/>
    <w:bookmarkStart w:id="0" w:name="fig:010"/>
    <w:p>
      <w:pPr>
        <w:pStyle w:val="CaptionedFigure"/>
      </w:pPr>
      <w:bookmarkStart w:id="60" w:name="fig:010"/>
      <w:r>
        <w:drawing>
          <wp:inline>
            <wp:extent cx="5334000" cy="746470"/>
            <wp:effectExtent b="0" l="0" r="0" t="0"/>
            <wp:docPr descr="Figure 10: Запуск программы lab6-2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Figure 10: Запуск программы lab6-2.asm</w:t>
      </w:r>
    </w:p>
    <w:bookmarkEnd w:id="0"/>
    <w:p>
      <w:pPr>
        <w:numPr>
          <w:ilvl w:val="0"/>
          <w:numId w:val="1005"/>
        </w:numPr>
        <w:pStyle w:val="Compact"/>
      </w:pPr>
      <w:r>
        <w:t xml:space="preserve">В качестве иллюстрации выполнения арифметических операций в NASM представим программу, которая вычисляет арифметическое выражение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.</w:t>
      </w:r>
    </w:p>
    <w:bookmarkStart w:id="0" w:name="fig:011"/>
    <w:p>
      <w:pPr>
        <w:pStyle w:val="CaptionedFigure"/>
      </w:pPr>
      <w:bookmarkStart w:id="64" w:name="fig:011"/>
      <w:r>
        <w:drawing>
          <wp:inline>
            <wp:extent cx="4456496" cy="5255393"/>
            <wp:effectExtent b="0" l="0" r="0" t="0"/>
            <wp:docPr descr="Figure 11: Программа lab6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6" cy="525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Figure 11: Программа lab6-3.asm</w:t>
      </w:r>
    </w:p>
    <w:bookmarkEnd w:id="0"/>
    <w:bookmarkStart w:id="0" w:name="fig:012"/>
    <w:p>
      <w:pPr>
        <w:pStyle w:val="CaptionedFigure"/>
      </w:pPr>
      <w:bookmarkStart w:id="68" w:name="fig:012"/>
      <w:r>
        <w:drawing>
          <wp:inline>
            <wp:extent cx="5334000" cy="1058103"/>
            <wp:effectExtent b="0" l="0" r="0" t="0"/>
            <wp:docPr descr="Figure 12: Запуск программы lab6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8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Figure 12: Запуск программы lab6-3.asm</w:t>
      </w:r>
    </w:p>
    <w:bookmarkEnd w:id="0"/>
    <w:p>
      <w:pPr>
        <w:pStyle w:val="BodyText"/>
      </w:pPr>
      <w:r>
        <w:t xml:space="preserve">Адаптировал код программы для расчета формулы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  <w:r>
        <w:t xml:space="preserve"> </w:t>
      </w:r>
      <w:r>
        <w:t xml:space="preserve">Скомпилировал исполняемый файл и осуществил его тестирование.</w:t>
      </w:r>
    </w:p>
    <w:bookmarkStart w:id="0" w:name="fig:013"/>
    <w:p>
      <w:pPr>
        <w:pStyle w:val="CaptionedFigure"/>
      </w:pPr>
      <w:bookmarkStart w:id="72" w:name="fig:013"/>
      <w:r>
        <w:drawing>
          <wp:inline>
            <wp:extent cx="4504623" cy="5197642"/>
            <wp:effectExtent b="0" l="0" r="0" t="0"/>
            <wp:docPr descr="Figure 13: Программа lab6-3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23" cy="519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Figure 13: Программа lab6-3.asm</w:t>
      </w:r>
    </w:p>
    <w:bookmarkEnd w:id="0"/>
    <w:bookmarkStart w:id="0" w:name="fig:014"/>
    <w:p>
      <w:pPr>
        <w:pStyle w:val="CaptionedFigure"/>
      </w:pPr>
      <w:bookmarkStart w:id="76" w:name="fig:014"/>
      <w:r>
        <w:drawing>
          <wp:inline>
            <wp:extent cx="5334000" cy="1026049"/>
            <wp:effectExtent b="0" l="0" r="0" t="0"/>
            <wp:docPr descr="Figure 14: Запуск программы lab6-3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Figure 14: Запуск программы lab6-3.asm</w:t>
      </w:r>
    </w:p>
    <w:bookmarkEnd w:id="0"/>
    <w:p>
      <w:pPr>
        <w:numPr>
          <w:ilvl w:val="0"/>
          <w:numId w:val="1006"/>
        </w:numPr>
        <w:pStyle w:val="Compact"/>
      </w:pPr>
      <w:r>
        <w:t xml:space="preserve">В качестве альтернативного примера рассмотрим программу, которая выполняет расчет заданного варианта исходя из номера студенческого билета.</w:t>
      </w:r>
    </w:p>
    <w:bookmarkStart w:id="0" w:name="fig:015"/>
    <w:p>
      <w:pPr>
        <w:pStyle w:val="CaptionedFigure"/>
      </w:pPr>
      <w:bookmarkStart w:id="80" w:name="fig:015"/>
      <w:r>
        <w:drawing>
          <wp:inline>
            <wp:extent cx="4340993" cy="5111014"/>
            <wp:effectExtent b="0" l="0" r="0" t="0"/>
            <wp:docPr descr="Figure 15: Программа variant.asm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3" cy="511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Figure 15: Программа variant.asm</w:t>
      </w:r>
    </w:p>
    <w:bookmarkEnd w:id="0"/>
    <w:bookmarkStart w:id="0" w:name="fig:016"/>
    <w:p>
      <w:pPr>
        <w:pStyle w:val="CaptionedFigure"/>
      </w:pPr>
      <w:bookmarkStart w:id="84" w:name="fig:016"/>
      <w:r>
        <w:drawing>
          <wp:inline>
            <wp:extent cx="5334000" cy="1085745"/>
            <wp:effectExtent b="0" l="0" r="0" t="0"/>
            <wp:docPr descr="Figure 16: Запуск программы variant.asm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5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Figure 16: Запуск программы variant.asm</w:t>
      </w:r>
    </w:p>
    <w:bookmarkEnd w:id="0"/>
    <w:p>
      <w:pPr>
        <w:pStyle w:val="BodyText"/>
      </w:pPr>
      <w:r>
        <w:t xml:space="preserve">ответы на вопросы</w:t>
      </w:r>
    </w:p>
    <w:p>
      <w:pPr>
        <w:numPr>
          <w:ilvl w:val="0"/>
          <w:numId w:val="1007"/>
        </w:numPr>
        <w:pStyle w:val="Compact"/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</w:t>
      </w:r>
      <w:r>
        <w:t xml:space="preserve">Ваш вариант:</w:t>
      </w:r>
      <w:r>
        <w:t xml:space="preserve">’</w:t>
      </w:r>
      <w:r>
        <w:t xml:space="preserve">?</w:t>
      </w:r>
    </w:p>
    <w:p>
      <w:pPr>
        <w:pStyle w:val="FirstParagraph"/>
      </w:pPr>
      <w:r>
        <w:t xml:space="preserve">Значение с текстом</w:t>
      </w:r>
      <w:r>
        <w:t xml:space="preserve"> </w:t>
      </w:r>
      <w:r>
        <w:t xml:space="preserve">‘</w:t>
      </w:r>
      <w:r>
        <w:t xml:space="preserve">Ваш вариант:</w:t>
      </w:r>
      <w:r>
        <w:t xml:space="preserve">’</w:t>
      </w:r>
      <w:r>
        <w:t xml:space="preserve"> </w:t>
      </w:r>
      <w:r>
        <w:t xml:space="preserve">загружается в регистр eax с помощью команды mov eax,rem.</w:t>
      </w:r>
    </w:p>
    <w:p>
      <w:pPr>
        <w:pStyle w:val="BodyText"/>
      </w:pPr>
      <w:r>
        <w:t xml:space="preserve">Для вывода указанной строки на экран используется команда call sprint, которая инициирует соответствующую функцию.</w:t>
      </w:r>
    </w:p>
    <w:p>
      <w:pPr>
        <w:numPr>
          <w:ilvl w:val="0"/>
          <w:numId w:val="1008"/>
        </w:numPr>
        <w:pStyle w:val="Compact"/>
      </w:pPr>
      <w:r>
        <w:t xml:space="preserve">Для чего используется следующие инструкции?</w:t>
      </w:r>
    </w:p>
    <w:p>
      <w:pPr>
        <w:pStyle w:val="FirstParagraph"/>
      </w:pPr>
      <w:r>
        <w:t xml:space="preserve">mov ecx, x</w:t>
      </w:r>
      <w:r>
        <w:t xml:space="preserve"> </w:t>
      </w:r>
      <w:r>
        <w:t xml:space="preserve">mov edx, 80</w:t>
      </w:r>
      <w:r>
        <w:t xml:space="preserve"> </w:t>
      </w:r>
      <w:r>
        <w:t xml:space="preserve">call sread</w:t>
      </w:r>
    </w:p>
    <w:p>
      <w:pPr>
        <w:pStyle w:val="BodyText"/>
      </w:pPr>
      <w:r>
        <w:t xml:space="preserve">Значение переменной X копируется в регистр ecx с помощью команды mov ecx, x.</w:t>
      </w:r>
    </w:p>
    <w:p>
      <w:pPr>
        <w:pStyle w:val="BodyText"/>
      </w:pPr>
      <w:r>
        <w:t xml:space="preserve">Команда mov edx, 80 задаёт число 80 в регистре edx.</w:t>
      </w:r>
    </w:p>
    <w:p>
      <w:pPr>
        <w:pStyle w:val="BodyText"/>
      </w:pPr>
      <w:r>
        <w:t xml:space="preserve">Вызов функции чтения с консоли осуществляется командой call sread.</w:t>
      </w:r>
    </w:p>
    <w:p>
      <w:pPr>
        <w:numPr>
          <w:ilvl w:val="0"/>
          <w:numId w:val="1009"/>
        </w:numPr>
        <w:pStyle w:val="Compact"/>
      </w:pPr>
      <w:r>
        <w:t xml:space="preserve">Для чего используется инструкция</w:t>
      </w:r>
      <w:r>
        <w:t xml:space="preserve"> </w:t>
      </w:r>
      <w:r>
        <w:t xml:space="preserve">“</w:t>
      </w:r>
      <w:r>
        <w:t xml:space="preserve">call atoi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Вызов</w:t>
      </w:r>
      <w:r>
        <w:t xml:space="preserve"> </w:t>
      </w:r>
      <w:r>
        <w:t xml:space="preserve">“</w:t>
      </w:r>
      <w:r>
        <w:t xml:space="preserve">call atoi</w:t>
      </w:r>
      <w:r>
        <w:t xml:space="preserve">”</w:t>
      </w:r>
      <w:r>
        <w:t xml:space="preserve"> </w:t>
      </w:r>
      <w:r>
        <w:t xml:space="preserve">инициирует функцию, конвертирующую строковые данные в целочисленный формат.</w:t>
      </w:r>
    </w:p>
    <w:p>
      <w:pPr>
        <w:numPr>
          <w:ilvl w:val="0"/>
          <w:numId w:val="1010"/>
        </w:numPr>
        <w:pStyle w:val="Compact"/>
      </w:pPr>
      <w:r>
        <w:t xml:space="preserve">Какие строки листинга отвечают за вычисления варианта?</w:t>
      </w:r>
    </w:p>
    <w:p>
      <w:pPr>
        <w:pStyle w:val="FirstParagraph"/>
      </w:pPr>
      <w:r>
        <w:t xml:space="preserve">Обнуление регистра edx достигается командой xor edx,edx.</w:t>
      </w:r>
    </w:p>
    <w:p>
      <w:pPr>
        <w:pStyle w:val="BodyText"/>
      </w:pPr>
      <w:r>
        <w:t xml:space="preserve">Установка числа 20 в регистр ebx осуществляется командой mov ebx,20.</w:t>
      </w:r>
    </w:p>
    <w:p>
      <w:pPr>
        <w:pStyle w:val="BodyText"/>
      </w:pPr>
      <w:r>
        <w:t xml:space="preserve">Деление числа студенческого билета на 20 производится командой div ebx.</w:t>
      </w:r>
    </w:p>
    <w:p>
      <w:pPr>
        <w:pStyle w:val="BodyText"/>
      </w:pPr>
      <w:r>
        <w:t xml:space="preserve">Последующее увеличение содержимого регистра edx на единицу выполняется командой inc edx.</w:t>
      </w:r>
    </w:p>
    <w:p>
      <w:pPr>
        <w:numPr>
          <w:ilvl w:val="0"/>
          <w:numId w:val="1011"/>
        </w:numPr>
        <w:pStyle w:val="Compact"/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</w:t>
      </w:r>
      <w:r>
        <w:t xml:space="preserve">div ebx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Регистр edx используется для хранения остатка от деления при выполнении команды div ebx.</w:t>
      </w:r>
    </w:p>
    <w:p>
      <w:pPr>
        <w:numPr>
          <w:ilvl w:val="0"/>
          <w:numId w:val="1012"/>
        </w:numPr>
        <w:pStyle w:val="Compact"/>
      </w:pPr>
      <w:r>
        <w:t xml:space="preserve">Для чего используется инструкция</w:t>
      </w:r>
      <w:r>
        <w:t xml:space="preserve"> </w:t>
      </w:r>
      <w:r>
        <w:t xml:space="preserve">“</w:t>
      </w:r>
      <w:r>
        <w:t xml:space="preserve">inc edx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Команда inc edx служит для инкрементирования содержимого регистра edx на один. Это необходимо для корректировки результата вычисления варианта, учитывая прибавление единицы к остатку от деления.</w:t>
      </w:r>
    </w:p>
    <w:p>
      <w:pPr>
        <w:numPr>
          <w:ilvl w:val="0"/>
          <w:numId w:val="1013"/>
        </w:numPr>
        <w:pStyle w:val="Compact"/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Для передачи результата расчётов в регистр eax используется команда mov eax,edx.</w:t>
      </w:r>
    </w:p>
    <w:p>
      <w:pPr>
        <w:pStyle w:val="BodyText"/>
      </w:pPr>
      <w:r>
        <w:t xml:space="preserve">Для вывода результата на экран применяется команда call iprintLF, активирующая соответствующую функцию.</w:t>
      </w:r>
    </w:p>
    <w:p>
      <w:pPr>
        <w:numPr>
          <w:ilvl w:val="0"/>
          <w:numId w:val="1014"/>
        </w:numPr>
        <w:pStyle w:val="Compact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FirstParagraph"/>
      </w:pPr>
      <w:r>
        <w:t xml:space="preserve">Получили вариант 5 -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d>
          <m:r>
            <m:rPr>
              <m:sty m:val="p"/>
            </m:rPr>
            <m:t>/</m:t>
          </m:r>
          <m:r>
            <m:t>8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64</m:t>
          </m:r>
        </m:oMath>
      </m:oMathPara>
    </w:p>
    <w:bookmarkStart w:id="0" w:name="fig:017"/>
    <w:p>
      <w:pPr>
        <w:pStyle w:val="CaptionedFigure"/>
      </w:pPr>
      <w:bookmarkStart w:id="88" w:name="fig:017"/>
      <w:r>
        <w:drawing>
          <wp:inline>
            <wp:extent cx="5334000" cy="5030372"/>
            <wp:effectExtent b="0" l="0" r="0" t="0"/>
            <wp:docPr descr="Figure 17: Программа prog.asm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0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Figure 17: Программа prog.asm</w:t>
      </w:r>
    </w:p>
    <w:bookmarkEnd w:id="0"/>
    <w:bookmarkStart w:id="0" w:name="fig:018"/>
    <w:p>
      <w:pPr>
        <w:pStyle w:val="CaptionedFigure"/>
      </w:pPr>
      <w:bookmarkStart w:id="92" w:name="fig:018"/>
      <w:r>
        <w:drawing>
          <wp:inline>
            <wp:extent cx="5334000" cy="1413220"/>
            <wp:effectExtent b="0" l="0" r="0" t="0"/>
            <wp:docPr descr="Figure 18: Запуск программы prog.asm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Figure 18: Запуск программы prog.asm</w:t>
      </w:r>
    </w:p>
    <w:bookmarkEnd w:id="0"/>
    <w:bookmarkEnd w:id="93"/>
    <w:bookmarkStart w:id="9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Довран Илиев</dc:creator>
  <dc:language>ru-RU</dc:language>
  <cp:keywords/>
  <dcterms:created xsi:type="dcterms:W3CDTF">2023-12-27T10:02:39Z</dcterms:created>
  <dcterms:modified xsi:type="dcterms:W3CDTF">2023-12-27T10:02:39Z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Архитектура компьютера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