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pPr>
    </w:p>
    <w:p>
      <w:pPr>
        <w:spacing w:after="160"/>
        <w:jc w:val="center"/>
      </w:pPr>
      <w:r>
        <w:rPr>
          <w:rFonts w:ascii="Arial" w:cs="Arial" w:eastAsia="Arial" w:hAnsi="Arial"/>
          <w:b/>
          <w:bCs/>
          <w:color w:val="1F4E79"/>
          <w:sz w:val="72"/>
          <w:szCs w:val="72"/>
        </w:rPr>
        <w:t xml:space="preserve">NEXUS CONFORMITÉ</w:t>
      </w:r>
    </w:p>
    <w:p>
      <w:pPr>
        <w:spacing w:after="400"/>
        <w:jc w:val="center"/>
      </w:pPr>
      <w:r>
        <w:rPr>
          <w:rFonts w:ascii="Arial" w:cs="Arial" w:eastAsia="Arial" w:hAnsi="Arial"/>
          <w:color w:val="2E75B6"/>
          <w:sz w:val="40"/>
          <w:szCs w:val="40"/>
        </w:rPr>
        <w:t xml:space="preserve">Document Fondation du Projet</w:t>
      </w:r>
    </w:p>
    <w:p>
      <w:pPr>
        <w:spacing w:after="120"/>
        <w:jc w:val="center"/>
      </w:pPr>
      <w:r>
        <w:rPr>
          <w:rFonts w:ascii="Arial" w:cs="Arial" w:eastAsia="Arial" w:hAnsi="Arial"/>
          <w:color w:val="404040"/>
          <w:sz w:val="24"/>
          <w:szCs w:val="24"/>
        </w:rPr>
        <w:t xml:space="preserve">Version 1.0 — Mars 2026</w:t>
      </w:r>
    </w:p>
    <w:p>
      <w:pPr>
        <w:spacing w:after="600"/>
        <w:jc w:val="center"/>
      </w:pPr>
      <w:r>
        <w:rPr>
          <w:rFonts w:ascii="Arial" w:cs="Arial" w:eastAsia="Arial" w:hAnsi="Arial"/>
          <w:b/>
          <w:bCs/>
          <w:color w:val="C00000"/>
          <w:sz w:val="22"/>
          <w:szCs w:val="22"/>
        </w:rPr>
        <w:t xml:space="preserve">CONFIDENTIEL — Usage interne uniquement</w:t>
      </w:r>
    </w:p>
    <w:p>
      <w:pPr>
        <w:pBdr>
          <w:bottom w:val="single" w:color="2E75B6" w:sz="6"/>
        </w:pBdr>
        <w:spacing w:after="200" w:before="400"/>
      </w:pPr>
    </w:p>
    <w:p>
      <w:pPr>
        <w:spacing w:after="80"/>
      </w:pPr>
      <w:r>
        <w:t xml:space="preserve"/>
      </w:r>
    </w:p>
    <w:p>
      <w:pPr>
        <w:spacing w:after="120"/>
        <w:jc w:val="center"/>
      </w:pPr>
      <w:r>
        <w:rPr>
          <w:rFonts w:ascii="Arial" w:cs="Arial" w:eastAsia="Arial" w:hAnsi="Arial"/>
          <w:b/>
          <w:bCs/>
          <w:color w:val="1F4E79"/>
          <w:sz w:val="26"/>
          <w:szCs w:val="26"/>
        </w:rPr>
        <w:t xml:space="preserve">Trois piliers — une vision unique</w:t>
      </w:r>
    </w:p>
    <w:p>
      <w:pPr>
        <w:spacing w:after="80"/>
        <w:jc w:val="center"/>
      </w:pPr>
      <w:r>
        <w:rPr>
          <w:rFonts w:ascii="Arial" w:cs="Arial" w:eastAsia="Arial" w:hAnsi="Arial"/>
          <w:b/>
          <w:bCs/>
          <w:color w:val="C55A11"/>
          <w:sz w:val="24"/>
          <w:szCs w:val="24"/>
        </w:rPr>
        <w:t xml:space="preserve">⚖️  Chapeau Avocat</w:t>
      </w:r>
      <w:r>
        <w:rPr>
          <w:rFonts w:ascii="Arial" w:cs="Arial" w:eastAsia="Arial" w:hAnsi="Arial"/>
          <w:color w:val="404040"/>
          <w:sz w:val="22"/>
          <w:szCs w:val="22"/>
        </w:rPr>
        <w:t xml:space="preserve">   Cadre juridique complet — zéro risque légal</w:t>
      </w:r>
    </w:p>
    <w:p>
      <w:pPr>
        <w:spacing w:after="80"/>
        <w:jc w:val="center"/>
      </w:pPr>
      <w:r>
        <w:rPr>
          <w:rFonts w:ascii="Arial" w:cs="Arial" w:eastAsia="Arial" w:hAnsi="Arial"/>
          <w:b/>
          <w:bCs/>
          <w:color w:val="C55A11"/>
          <w:sz w:val="24"/>
          <w:szCs w:val="24"/>
        </w:rPr>
        <w:t xml:space="preserve">📈  Chapeau Marketing Digital</w:t>
      </w:r>
      <w:r>
        <w:rPr>
          <w:rFonts w:ascii="Arial" w:cs="Arial" w:eastAsia="Arial" w:hAnsi="Arial"/>
          <w:color w:val="404040"/>
          <w:sz w:val="22"/>
          <w:szCs w:val="22"/>
        </w:rPr>
        <w:t xml:space="preserve">   Stratégie commerciale et flux de revenus</w:t>
      </w:r>
    </w:p>
    <w:p>
      <w:pPr>
        <w:spacing w:after="80"/>
        <w:jc w:val="center"/>
      </w:pPr>
      <w:r>
        <w:rPr>
          <w:rFonts w:ascii="Arial" w:cs="Arial" w:eastAsia="Arial" w:hAnsi="Arial"/>
          <w:b/>
          <w:bCs/>
          <w:color w:val="C55A11"/>
          <w:sz w:val="24"/>
          <w:szCs w:val="24"/>
        </w:rPr>
        <w:t xml:space="preserve">📋  Chapeau Chef de Projet</w:t>
      </w:r>
      <w:r>
        <w:rPr>
          <w:rFonts w:ascii="Arial" w:cs="Arial" w:eastAsia="Arial" w:hAnsi="Arial"/>
          <w:color w:val="404040"/>
          <w:sz w:val="22"/>
          <w:szCs w:val="22"/>
        </w:rPr>
        <w:t xml:space="preserve">   Feuille de route et priorités d'exécution</w:t>
      </w:r>
    </w:p>
    <w:p>
      <w:r>
        <w:br w:type="page"/>
      </w:r>
    </w:p>
    <w:p>
      <w:pPr>
        <w:pStyle w:val="Heading1"/>
        <w:pageBreakBefore/>
      </w:pPr>
      <w:r>
        <w:rPr>
          <w:rFonts w:ascii="Arial" w:cs="Arial" w:eastAsia="Arial" w:hAnsi="Arial"/>
          <w:b/>
          <w:bCs/>
          <w:color w:val="1F4E79"/>
          <w:sz w:val="36"/>
          <w:szCs w:val="36"/>
        </w:rPr>
        <w:t xml:space="preserve">⚖️  CHAPEAU AVOCAT — Cadre Juridique Complet</w:t>
      </w:r>
    </w:p>
    <w:p>
      <w:pPr>
        <w:spacing w:after="120"/>
      </w:pPr>
      <w:r>
        <w:rPr>
          <w:rFonts w:ascii="Arial" w:cs="Arial" w:eastAsia="Arial" w:hAnsi="Arial"/>
          <w:color w:val="404040"/>
          <w:sz w:val="22"/>
          <w:szCs w:val="22"/>
        </w:rPr>
        <w:t xml:space="preserve">Ce chapitre définit l'ensemble des obligations légales auxquelles NEXUS CONFORMITÉ doit se conformer. Chaque point a été analysé pour couvrir tous les risques identifiés. Aucune action commerciale ne doit être engagée sans que ces éléments soient en place.</w:t>
      </w:r>
    </w:p>
    <w:p>
      <w:pPr>
        <w:spacing w:after="80"/>
      </w:pPr>
      <w:r>
        <w:t xml:space="preserve"/>
      </w:r>
    </w:p>
    <w:p>
      <w:pPr>
        <w:pStyle w:val="Heading2"/>
      </w:pPr>
      <w:r>
        <w:rPr>
          <w:rFonts w:ascii="Arial" w:cs="Arial" w:eastAsia="Arial" w:hAnsi="Arial"/>
          <w:b/>
          <w:bCs/>
          <w:color w:val="2E75B6"/>
          <w:sz w:val="28"/>
          <w:szCs w:val="28"/>
        </w:rPr>
        <w:t xml:space="preserve">1.1  Statut Juridique et Fiscal</w:t>
      </w:r>
    </w:p>
    <w:p>
      <w:pPr>
        <w:spacing w:after="120"/>
      </w:pPr>
      <w:r>
        <w:rPr>
          <w:rFonts w:ascii="Arial" w:cs="Arial" w:eastAsia="Arial" w:hAnsi="Arial"/>
          <w:color w:val="404040"/>
          <w:sz w:val="22"/>
          <w:szCs w:val="22"/>
        </w:rPr>
        <w:t xml:space="preserve">NEXUS CONFORMITÉ démarre en tant que micro-entreprise (régime simplifié). Ce statut est adapté au démarrage mais impose des contraintes précises.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Paramètre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Forme juridique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Micro-entreprise / auto-entrepreneur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Seuil franchise TVA (services)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37 500 €/an — en dessous : facture HT sans TVA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Au-dessus du seuil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Passage obligatoire à la TVA — réémettre les factures en TTC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Revenus affiliation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BNC (Bénéfices Non Commerciaux) — à déclarer annuellement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Revenus Gumroad (USA)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Retenue à la source US possible — fournir SIRET + formulaire W-8BEN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Cotisations sociales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22 % du CA pour les BNC — prélevées trimestriellement</w:t>
            </w:r>
          </w:p>
        </w:tc>
      </w:tr>
    </w:tbl>
    <w:p>
      <w:pPr>
        <w:spacing w:after="80"/>
      </w:pPr>
      <w:r>
        <w:t xml:space="preserve"/>
      </w:r>
    </w:p>
    <w:p>
      <w:pPr>
        <w:pBdr>
          <w:left w:val="single" w:color="C00000" w:sz="12" w:space="8"/>
        </w:pBdr>
        <w:spacing w:after="120" w:before="120"/>
      </w:pPr>
      <w:r>
        <w:rPr>
          <w:rFonts w:ascii="Arial" w:cs="Arial" w:eastAsia="Arial" w:hAnsi="Arial"/>
          <w:b/>
          <w:bCs/>
          <w:color w:val="C00000"/>
          <w:sz w:val="22"/>
          <w:szCs w:val="22"/>
        </w:rPr>
        <w:t xml:space="preserve">⚠️  Dès que le CA mensuel récurrent dépasse 3 000 €, consulter un expert-comptable pour évaluer l'opportunité de passer en SASU ou EURL — la fiscalité devient plus avantageuse au-delà de 30 000 €/an.</w:t>
      </w:r>
    </w:p>
    <w:p>
      <w:pPr>
        <w:spacing w:after="80"/>
      </w:pPr>
      <w:r>
        <w:t xml:space="preserve"/>
      </w:r>
    </w:p>
    <w:p>
      <w:pPr>
        <w:pStyle w:val="Heading2"/>
      </w:pPr>
      <w:r>
        <w:rPr>
          <w:rFonts w:ascii="Arial" w:cs="Arial" w:eastAsia="Arial" w:hAnsi="Arial"/>
          <w:b/>
          <w:bCs/>
          <w:color w:val="2E75B6"/>
          <w:sz w:val="28"/>
          <w:szCs w:val="28"/>
        </w:rPr>
        <w:t xml:space="preserve">1.2  Vente de Produits Numériques (Kit RGPD, Kit NIS2)</w:t>
      </w:r>
    </w:p>
    <w:p>
      <w:pPr>
        <w:spacing w:after="120"/>
      </w:pPr>
      <w:r>
        <w:rPr>
          <w:rFonts w:ascii="Arial" w:cs="Arial" w:eastAsia="Arial" w:hAnsi="Arial"/>
          <w:color w:val="404040"/>
          <w:sz w:val="22"/>
          <w:szCs w:val="22"/>
        </w:rPr>
        <w:t xml:space="preserve">La vente d'un produit téléchargeable via Gumroad est légalement un contrat de vente à distance soumis au Code de la consommation.</w:t>
      </w:r>
    </w:p>
    <w:p>
      <w:pPr>
        <w:pStyle w:val="Heading3"/>
      </w:pPr>
      <w:r>
        <w:rPr>
          <w:rFonts w:ascii="Arial" w:cs="Arial" w:eastAsia="Arial" w:hAnsi="Arial"/>
          <w:b/>
          <w:bCs/>
          <w:color w:val="404040"/>
          <w:sz w:val="24"/>
          <w:szCs w:val="24"/>
        </w:rPr>
        <w:t xml:space="preserve">Obligations impératives</w:t>
      </w:r>
    </w:p>
    <w:p>
      <w:pPr>
        <w:pBdr>
          <w:left w:val="single" w:color="375623" w:sz="12" w:space="8"/>
        </w:pBdr>
        <w:spacing w:after="80" w:before="80"/>
      </w:pPr>
      <w:r>
        <w:rPr>
          <w:rFonts w:ascii="Arial" w:cs="Arial" w:eastAsia="Arial" w:hAnsi="Arial"/>
          <w:color w:val="375623"/>
          <w:sz w:val="22"/>
          <w:szCs w:val="22"/>
        </w:rPr>
        <w:t xml:space="preserve">✅  CGV (Conditions Générales de Vente) accessibles avant tout achat — lien visible sur la page de vente</w:t>
      </w:r>
    </w:p>
    <w:p>
      <w:pPr>
        <w:pBdr>
          <w:left w:val="single" w:color="375623" w:sz="12" w:space="8"/>
        </w:pBdr>
        <w:spacing w:after="80" w:before="80"/>
      </w:pPr>
      <w:r>
        <w:rPr>
          <w:rFonts w:ascii="Arial" w:cs="Arial" w:eastAsia="Arial" w:hAnsi="Arial"/>
          <w:color w:val="375623"/>
          <w:sz w:val="22"/>
          <w:szCs w:val="22"/>
        </w:rPr>
        <w:t xml:space="preserve">✅  Délai de rétractation de 14 jours — SAUF si le client coche expressément : 'Je reconnais que la livraison du contenu numérique est immédiate et renonce expressément à mon droit de rétractation conformément à l'article L221-28 du Code de la consommation'</w:t>
      </w:r>
    </w:p>
    <w:p>
      <w:pPr>
        <w:pBdr>
          <w:left w:val="single" w:color="375623" w:sz="12" w:space="8"/>
        </w:pBdr>
        <w:spacing w:after="80" w:before="80"/>
      </w:pPr>
      <w:r>
        <w:rPr>
          <w:rFonts w:ascii="Arial" w:cs="Arial" w:eastAsia="Arial" w:hAnsi="Arial"/>
          <w:color w:val="375623"/>
          <w:sz w:val="22"/>
          <w:szCs w:val="22"/>
        </w:rPr>
        <w:t xml:space="preserve">✅  Facture automatique envoyée immédiatement après achat — numéro séquentiel, date, SIRET, description du produit, montant HT ou TTC</w:t>
      </w:r>
    </w:p>
    <w:p>
      <w:pPr>
        <w:pBdr>
          <w:left w:val="single" w:color="375623" w:sz="12" w:space="8"/>
        </w:pBdr>
        <w:spacing w:after="80" w:before="80"/>
      </w:pPr>
      <w:r>
        <w:rPr>
          <w:rFonts w:ascii="Arial" w:cs="Arial" w:eastAsia="Arial" w:hAnsi="Arial"/>
          <w:color w:val="375623"/>
          <w:sz w:val="22"/>
          <w:szCs w:val="22"/>
        </w:rPr>
        <w:t xml:space="preserve">✅  Politique de confidentialité visible — traitement des données de l'acheteur</w:t>
      </w:r>
    </w:p>
    <w:p>
      <w:pPr>
        <w:spacing w:after="80"/>
      </w:pPr>
      <w:r>
        <w:t xml:space="preserve"/>
      </w:r>
    </w:p>
    <w:p>
      <w:pPr>
        <w:pBdr>
          <w:left w:val="single" w:color="C00000" w:sz="12" w:space="8"/>
        </w:pBdr>
        <w:spacing w:after="120" w:before="120"/>
      </w:pPr>
      <w:r>
        <w:rPr>
          <w:rFonts w:ascii="Arial" w:cs="Arial" w:eastAsia="Arial" w:hAnsi="Arial"/>
          <w:b/>
          <w:bCs/>
          <w:color w:val="C00000"/>
          <w:sz w:val="22"/>
          <w:szCs w:val="22"/>
        </w:rPr>
        <w:t xml:space="preserve">⚠️  Sans la case de renonciation au droit de rétractation cochée par le client, tout acheteur peut demander un remboursement pendant 14 jours après l'achat, même après téléchargement. Cette case est non-négociable.</w:t>
      </w:r>
    </w:p>
    <w:p>
      <w:pPr>
        <w:pStyle w:val="Heading3"/>
      </w:pPr>
      <w:r>
        <w:rPr>
          <w:rFonts w:ascii="Arial" w:cs="Arial" w:eastAsia="Arial" w:hAnsi="Arial"/>
          <w:b/>
          <w:bCs/>
          <w:color w:val="404040"/>
          <w:sz w:val="24"/>
          <w:szCs w:val="24"/>
        </w:rPr>
        <w:t xml:space="preserve">Disclaimer obligatoire dans le Kit</w:t>
      </w:r>
    </w:p>
    <w:p>
      <w:pPr>
        <w:spacing w:after="120"/>
      </w:pPr>
      <w:r>
        <w:rPr>
          <w:rFonts w:ascii="Arial" w:cs="Arial" w:eastAsia="Arial" w:hAnsi="Arial"/>
          <w:color w:val="404040"/>
          <w:sz w:val="22"/>
          <w:szCs w:val="22"/>
        </w:rPr>
        <w:t xml:space="preserve">Chaque kit doit contenir en page 1, en caractères lisibles, la mention suivante :</w:t>
      </w:r>
    </w:p>
    <w:p>
      <w:pPr>
        <w:spacing w:after="120" w:before="120"/>
      </w:pPr>
      <w:r>
        <w:rPr>
          <w:rFonts w:ascii="Arial" w:cs="Arial" w:eastAsia="Arial" w:hAnsi="Arial"/>
          <w:i/>
          <w:iCs/>
          <w:color w:val="404040"/>
          <w:sz w:val="20"/>
          <w:szCs w:val="20"/>
        </w:rPr>
        <w:t xml:space="preserve">"Les documents et modèles contenus dans ce kit ont une valeur informative et pédagogique. Ils ne constituent pas un conseil juridique, fiscal ou comptable personnalisé et ne sauraient se substituer à la consultation d'un professionnel qualifié. NEXUS CONFORMITÉ décline toute responsabilité quant à l'usage qui en serait fait et à sa conformité avec la réglementation applicable à votre situation particulière."</w:t>
      </w:r>
    </w:p>
    <w:p>
      <w:pPr>
        <w:spacing w:after="80"/>
      </w:pPr>
      <w:r>
        <w:t xml:space="preserve"/>
      </w:r>
    </w:p>
    <w:p>
      <w:pPr>
        <w:pStyle w:val="Heading2"/>
      </w:pPr>
      <w:r>
        <w:rPr>
          <w:rFonts w:ascii="Arial" w:cs="Arial" w:eastAsia="Arial" w:hAnsi="Arial"/>
          <w:b/>
          <w:bCs/>
          <w:color w:val="2E75B6"/>
          <w:sz w:val="28"/>
          <w:szCs w:val="28"/>
        </w:rPr>
        <w:t xml:space="preserve">1.3  Facturation Électronique Obligatoire — Loi 2026</w:t>
      </w:r>
    </w:p>
    <w:p>
      <w:pPr>
        <w:spacing w:after="120"/>
      </w:pPr>
      <w:r>
        <w:rPr>
          <w:rFonts w:ascii="Arial" w:cs="Arial" w:eastAsia="Arial" w:hAnsi="Arial"/>
          <w:color w:val="404040"/>
          <w:sz w:val="22"/>
          <w:szCs w:val="22"/>
        </w:rPr>
        <w:t xml:space="preserve">La loi de finances 2024 (article 91) impose la facturation électronique à toutes les entreprises françaises assujetties à la TVA. C'est une obligation légale touchant l'intégralité des 4 millions d'entreprises françaises — c'est l'angle commercial le plus puissant de NEXUS CONFORMITÉ.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Obligation</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Qui est concerné</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Depuis sept. 2026</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Réception de factures électroniques obligatoire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TOUTES les entreprises assujetties à la TVA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Sept. 2026</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Émission obligatoire — phase 1</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Grandes entreprises (&gt;5 000 salariés)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Sept. 2027</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Émission obligatoire — phase 2</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ETI (250 à 5 000 salariés)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Sept. 2027</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Émission obligatoire — phase 3</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PME et micro-entreprises — TOUTES</w:t>
            </w:r>
          </w:p>
        </w:tc>
      </w:tr>
    </w:tbl>
    <w:p>
      <w:pPr>
        <w:spacing w:after="80"/>
      </w:pPr>
      <w:r>
        <w:t xml:space="preserve"/>
      </w:r>
    </w:p>
    <w:p>
      <w:pPr>
        <w:pBdr>
          <w:left w:val="single" w:color="2E75B6" w:sz="12" w:space="8"/>
        </w:pBdr>
        <w:spacing w:after="120" w:before="120"/>
      </w:pPr>
      <w:r>
        <w:rPr>
          <w:rFonts w:ascii="Arial" w:cs="Arial" w:eastAsia="Arial" w:hAnsi="Arial"/>
          <w:color w:val="2E75B6"/>
          <w:sz w:val="22"/>
          <w:szCs w:val="22"/>
        </w:rPr>
        <w:t xml:space="preserve">💡  Angle commercial clé : les TPE/PME ne savent pas pour la plupart qu'elles doivent se conformer d'ici 2027. NEXUS CONFORMITÉ peut les guider vers les logiciels certifiés PDP (Axonaut, Pennylane, Tiime) via des liens affiliés — c'est une opportunité immense.</w:t>
      </w:r>
    </w:p>
    <w:p>
      <w:pPr>
        <w:spacing w:after="80"/>
      </w:pPr>
      <w:r>
        <w:t xml:space="preserve"/>
      </w:r>
    </w:p>
    <w:p>
      <w:pPr>
        <w:pStyle w:val="Heading2"/>
      </w:pPr>
      <w:r>
        <w:rPr>
          <w:rFonts w:ascii="Arial" w:cs="Arial" w:eastAsia="Arial" w:hAnsi="Arial"/>
          <w:b/>
          <w:bCs/>
          <w:color w:val="2E75B6"/>
          <w:sz w:val="28"/>
          <w:szCs w:val="28"/>
        </w:rPr>
        <w:t xml:space="preserve">1.4  Newsletter et Affiliation — Obligations Légales</w:t>
      </w:r>
    </w:p>
    <w:p>
      <w:pPr>
        <w:pStyle w:val="Heading3"/>
      </w:pPr>
      <w:r>
        <w:rPr>
          <w:rFonts w:ascii="Arial" w:cs="Arial" w:eastAsia="Arial" w:hAnsi="Arial"/>
          <w:b/>
          <w:bCs/>
          <w:color w:val="404040"/>
          <w:sz w:val="24"/>
          <w:szCs w:val="24"/>
        </w:rPr>
        <w:t xml:space="preserve">Transparence sur les liens affiliés (Loi LCEN)</w:t>
      </w:r>
    </w:p>
    <w:p>
      <w:pPr>
        <w:pBdr>
          <w:left w:val="single" w:color="375623" w:sz="12" w:space="8"/>
        </w:pBdr>
        <w:spacing w:after="80" w:before="80"/>
      </w:pPr>
      <w:r>
        <w:rPr>
          <w:rFonts w:ascii="Arial" w:cs="Arial" w:eastAsia="Arial" w:hAnsi="Arial"/>
          <w:color w:val="375623"/>
          <w:sz w:val="22"/>
          <w:szCs w:val="22"/>
        </w:rPr>
        <w:t xml:space="preserve">✅  Mention obligatoire visible sur chaque lien affilié : '#partenariat-rémunéré' ou 'lien affilié' ou 'en partenariat avec [nom]'</w:t>
      </w:r>
    </w:p>
    <w:p>
      <w:pPr>
        <w:pBdr>
          <w:left w:val="single" w:color="375623" w:sz="12" w:space="8"/>
        </w:pBdr>
        <w:spacing w:after="80" w:before="80"/>
      </w:pPr>
      <w:r>
        <w:rPr>
          <w:rFonts w:ascii="Arial" w:cs="Arial" w:eastAsia="Arial" w:hAnsi="Arial"/>
          <w:color w:val="375623"/>
          <w:sz w:val="22"/>
          <w:szCs w:val="22"/>
        </w:rPr>
        <w:t xml:space="preserve">✅  Mention dans les CGU du site : 'Ce site contient des liens affiliés. En cliquant et en souscrivant à un service partenaire, NEXUS CONFORMITÉ peut percevoir une commission sans coût supplémentaire pour vous.'</w:t>
      </w:r>
    </w:p>
    <w:p>
      <w:pPr>
        <w:pBdr>
          <w:left w:val="single" w:color="C00000" w:sz="12" w:space="8"/>
        </w:pBdr>
        <w:spacing w:after="120" w:before="120"/>
      </w:pPr>
      <w:r>
        <w:rPr>
          <w:rFonts w:ascii="Arial" w:cs="Arial" w:eastAsia="Arial" w:hAnsi="Arial"/>
          <w:b/>
          <w:bCs/>
          <w:color w:val="C00000"/>
          <w:sz w:val="22"/>
          <w:szCs w:val="22"/>
        </w:rPr>
        <w:t xml:space="preserve">⚠️  Ne jamais présenter un outil comme 'le meilleur' uniquement parce qu'il rapporte la commission la plus élevée. Cela constitue de la publicité mensongère (art. L121-1 Code de la consommation).</w:t>
      </w:r>
    </w:p>
    <w:p>
      <w:pPr>
        <w:pStyle w:val="Heading3"/>
      </w:pPr>
      <w:r>
        <w:rPr>
          <w:rFonts w:ascii="Arial" w:cs="Arial" w:eastAsia="Arial" w:hAnsi="Arial"/>
          <w:b/>
          <w:bCs/>
          <w:color w:val="404040"/>
          <w:sz w:val="24"/>
          <w:szCs w:val="24"/>
        </w:rPr>
        <w:t xml:space="preserve">Newsletter — RGPD et double opt-in</w:t>
      </w:r>
    </w:p>
    <w:p>
      <w:pPr>
        <w:pBdr>
          <w:left w:val="single" w:color="375623" w:sz="12" w:space="8"/>
        </w:pBdr>
        <w:spacing w:after="80" w:before="80"/>
      </w:pPr>
      <w:r>
        <w:rPr>
          <w:rFonts w:ascii="Arial" w:cs="Arial" w:eastAsia="Arial" w:hAnsi="Arial"/>
          <w:color w:val="375623"/>
          <w:sz w:val="22"/>
          <w:szCs w:val="22"/>
        </w:rPr>
        <w:t xml:space="preserve">✅  Double opt-in obligatoire : l'abonné s'inscrit, reçoit un email de confirmation, clique pour valider. Sans ce clic, il n'est pas inscrit.</w:t>
      </w:r>
    </w:p>
    <w:p>
      <w:pPr>
        <w:pBdr>
          <w:left w:val="single" w:color="375623" w:sz="12" w:space="8"/>
        </w:pBdr>
        <w:spacing w:after="80" w:before="80"/>
      </w:pPr>
      <w:r>
        <w:rPr>
          <w:rFonts w:ascii="Arial" w:cs="Arial" w:eastAsia="Arial" w:hAnsi="Arial"/>
          <w:color w:val="375623"/>
          <w:sz w:val="22"/>
          <w:szCs w:val="22"/>
        </w:rPr>
        <w:t xml:space="preserve">✅  Lien de désinscription visible dans chaque email envoyé</w:t>
      </w:r>
    </w:p>
    <w:p>
      <w:pPr>
        <w:pBdr>
          <w:left w:val="single" w:color="375623" w:sz="12" w:space="8"/>
        </w:pBdr>
        <w:spacing w:after="80" w:before="80"/>
      </w:pPr>
      <w:r>
        <w:rPr>
          <w:rFonts w:ascii="Arial" w:cs="Arial" w:eastAsia="Arial" w:hAnsi="Arial"/>
          <w:color w:val="375623"/>
          <w:sz w:val="22"/>
          <w:szCs w:val="22"/>
        </w:rPr>
        <w:t xml:space="preserve">✅  Mention dans le formulaire d'inscription : 'En vous inscrivant, vous acceptez de recevoir notre newsletter. Vos données ne sont pas transmises à des tiers. Vous pouvez vous désinscrire à tout moment.'</w:t>
      </w:r>
    </w:p>
    <w:p>
      <w:pPr>
        <w:spacing w:after="80"/>
      </w:pPr>
      <w:r>
        <w:t xml:space="preserve"/>
      </w:r>
    </w:p>
    <w:p>
      <w:pPr>
        <w:pStyle w:val="Heading2"/>
      </w:pPr>
      <w:r>
        <w:rPr>
          <w:rFonts w:ascii="Arial" w:cs="Arial" w:eastAsia="Arial" w:hAnsi="Arial"/>
          <w:b/>
          <w:bCs/>
          <w:color w:val="2E75B6"/>
          <w:sz w:val="28"/>
          <w:szCs w:val="28"/>
        </w:rPr>
        <w:t xml:space="preserve">1.5  Comparateur d'Outils — Neutralité et Transparence</w:t>
      </w:r>
    </w:p>
    <w:p>
      <w:pPr>
        <w:spacing w:after="120"/>
      </w:pPr>
      <w:r>
        <w:rPr>
          <w:rFonts w:ascii="Arial" w:cs="Arial" w:eastAsia="Arial" w:hAnsi="Arial"/>
          <w:color w:val="404040"/>
          <w:sz w:val="22"/>
          <w:szCs w:val="22"/>
        </w:rPr>
        <w:t xml:space="preserve">Le comparateur est légalement un service d'information commercial. Pour être irréprochable :</w:t>
      </w:r>
    </w:p>
    <w:p>
      <w:pPr>
        <w:pBdr>
          <w:left w:val="single" w:color="375623" w:sz="12" w:space="8"/>
        </w:pBdr>
        <w:spacing w:after="80" w:before="80"/>
      </w:pPr>
      <w:r>
        <w:rPr>
          <w:rFonts w:ascii="Arial" w:cs="Arial" w:eastAsia="Arial" w:hAnsi="Arial"/>
          <w:color w:val="375623"/>
          <w:sz w:val="22"/>
          <w:szCs w:val="22"/>
        </w:rPr>
        <w:t xml:space="preserve">✅  Mention visible en haut de chaque page comparateur : 'Ce comparateur contient des liens partenaires. Notre rémunération n'influence pas le classement des outils, qui est basé sur [critères objectifs : prix, fonctionnalités, avis utilisateurs].'</w:t>
      </w:r>
    </w:p>
    <w:p>
      <w:pPr>
        <w:pBdr>
          <w:left w:val="single" w:color="375623" w:sz="12" w:space="8"/>
        </w:pBdr>
        <w:spacing w:after="80" w:before="80"/>
      </w:pPr>
      <w:r>
        <w:rPr>
          <w:rFonts w:ascii="Arial" w:cs="Arial" w:eastAsia="Arial" w:hAnsi="Arial"/>
          <w:color w:val="375623"/>
          <w:sz w:val="22"/>
          <w:szCs w:val="22"/>
        </w:rPr>
        <w:t xml:space="preserve">✅  Inclure au moins un outil sans lien affilié dans chaque comparaison — preuve d'objectivité</w:t>
      </w:r>
    </w:p>
    <w:p>
      <w:pPr>
        <w:pBdr>
          <w:left w:val="single" w:color="375623" w:sz="12" w:space="8"/>
        </w:pBdr>
        <w:spacing w:after="80" w:before="80"/>
      </w:pPr>
      <w:r>
        <w:rPr>
          <w:rFonts w:ascii="Arial" w:cs="Arial" w:eastAsia="Arial" w:hAnsi="Arial"/>
          <w:color w:val="375623"/>
          <w:sz w:val="22"/>
          <w:szCs w:val="22"/>
        </w:rPr>
        <w:t xml:space="preserve">✅  Mettre à jour les prix régulièrement — un prix erroné peut constituer une pratique commerciale trompeuse</w:t>
      </w:r>
    </w:p>
    <w:p>
      <w:pPr>
        <w:spacing w:after="80"/>
      </w:pPr>
      <w:r>
        <w:t xml:space="preserve"/>
      </w:r>
    </w:p>
    <w:p>
      <w:pPr>
        <w:pStyle w:val="Heading2"/>
      </w:pPr>
      <w:r>
        <w:rPr>
          <w:rFonts w:ascii="Arial" w:cs="Arial" w:eastAsia="Arial" w:hAnsi="Arial"/>
          <w:b/>
          <w:bCs/>
          <w:color w:val="2E75B6"/>
          <w:sz w:val="28"/>
          <w:szCs w:val="28"/>
        </w:rPr>
        <w:t xml:space="preserve">1.6  NIS2 — Qui est Vraiment Concerné</w:t>
      </w:r>
    </w:p>
    <w:p>
      <w:pPr>
        <w:spacing w:after="120"/>
      </w:pPr>
      <w:r>
        <w:rPr>
          <w:rFonts w:ascii="Arial" w:cs="Arial" w:eastAsia="Arial" w:hAnsi="Arial"/>
          <w:color w:val="404040"/>
          <w:sz w:val="22"/>
          <w:szCs w:val="22"/>
        </w:rPr>
        <w:t xml:space="preserve">La directive NIS2 (transposée en France d'ici fin 2026) concerne principalement :</w:t>
      </w:r>
    </w:p>
    <w:p>
      <w:pPr>
        <w:pStyle w:val="ListParagraph"/>
        <w:numPr>
          <w:ilvl w:val="0"/>
          <w:numId w:val="2"/>
        </w:numPr>
        <w:spacing w:after="80"/>
      </w:pPr>
      <w:r>
        <w:rPr>
          <w:rFonts w:ascii="Arial" w:cs="Arial" w:eastAsia="Arial" w:hAnsi="Arial"/>
          <w:color w:val="404040"/>
          <w:sz w:val="22"/>
          <w:szCs w:val="22"/>
        </w:rPr>
        <w:t xml:space="preserve">Entités essentielles : &gt;250 salariés ET &gt;50 M€ de CA — hors scope pour les TPE/PME</w:t>
      </w:r>
    </w:p>
    <w:p>
      <w:pPr>
        <w:pStyle w:val="ListParagraph"/>
        <w:numPr>
          <w:ilvl w:val="0"/>
          <w:numId w:val="2"/>
        </w:numPr>
        <w:spacing w:after="80"/>
      </w:pPr>
      <w:r>
        <w:rPr>
          <w:rFonts w:ascii="Arial" w:cs="Arial" w:eastAsia="Arial" w:hAnsi="Arial"/>
          <w:color w:val="404040"/>
          <w:sz w:val="22"/>
          <w:szCs w:val="22"/>
        </w:rPr>
        <w:t xml:space="preserve">Entités importantes : 50 à 250 salariés ET 10 à 50 M€ de CA — quelques PME concernées</w:t>
      </w:r>
    </w:p>
    <w:p>
      <w:pPr>
        <w:pStyle w:val="ListParagraph"/>
        <w:numPr>
          <w:ilvl w:val="0"/>
          <w:numId w:val="2"/>
        </w:numPr>
        <w:spacing w:after="80"/>
      </w:pPr>
      <w:r>
        <w:rPr>
          <w:rFonts w:ascii="Arial" w:cs="Arial" w:eastAsia="Arial" w:hAnsi="Arial"/>
          <w:color w:val="404040"/>
          <w:sz w:val="22"/>
          <w:szCs w:val="22"/>
        </w:rPr>
        <w:t xml:space="preserve">Sous-traitants d'entités essentielles : ATTENTION, même une micro-entreprise peut être concernée si elle traite des données critiques pour une grande entreprise</w:t>
      </w:r>
    </w:p>
    <w:p>
      <w:pPr>
        <w:spacing w:after="80"/>
      </w:pPr>
      <w:r>
        <w:t xml:space="preserve"/>
      </w:r>
    </w:p>
    <w:p>
      <w:pPr>
        <w:pBdr>
          <w:left w:val="single" w:color="2E75B6" w:sz="12" w:space="8"/>
        </w:pBdr>
        <w:spacing w:after="120" w:before="120"/>
      </w:pPr>
      <w:r>
        <w:rPr>
          <w:rFonts w:ascii="Arial" w:cs="Arial" w:eastAsia="Arial" w:hAnsi="Arial"/>
          <w:color w:val="2E75B6"/>
          <w:sz w:val="22"/>
          <w:szCs w:val="22"/>
        </w:rPr>
        <w:t xml:space="preserve">💡  Angle NEXUS : proposer un diagnostic NIS2 rapide (checklist PDF) pour aider les PME à savoir si elles sont concernées. Si oui, les orienter vers des experts certifiés ANSSI via l'annuaire ou via affiliation.</w:t>
      </w:r>
    </w:p>
    <w:p>
      <w:pPr>
        <w:spacing w:after="80"/>
      </w:pPr>
      <w:r>
        <w:t xml:space="preserve"/>
      </w:r>
    </w:p>
    <w:p>
      <w:pPr>
        <w:pStyle w:val="Heading2"/>
      </w:pPr>
      <w:r>
        <w:rPr>
          <w:rFonts w:ascii="Arial" w:cs="Arial" w:eastAsia="Arial" w:hAnsi="Arial"/>
          <w:b/>
          <w:bCs/>
          <w:color w:val="2E75B6"/>
          <w:sz w:val="28"/>
          <w:szCs w:val="28"/>
        </w:rPr>
        <w:t xml:space="preserve">1.7  Mentions Légales et Documents Obligatoires du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Contenu minimum</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Mentions légales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Nom/SIRET de l'éditeur, hébergeur, contact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 À créer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Politique de confidentialité</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Données collectées, durée conservation, droits RGPD, DPO si applicable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 À créer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CGV produits numériques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Prix, livraison, rétractation, garanties, litiges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 À créer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CGU site / newsletter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Règles d'usage, affiliation, responsabilité, loi applicable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 À créer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Bandeau cookies (Axeptio)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Consentement éclairé, catégories cookies, refus possible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 À configurer</w:t>
            </w:r>
          </w:p>
        </w:tc>
      </w:tr>
    </w:tbl>
    <w:p>
      <w:pPr>
        <w:spacing w:after="80"/>
      </w:pPr>
      <w:r>
        <w:t xml:space="preserve"/>
      </w:r>
    </w:p>
    <w:p>
      <w:pPr>
        <w:pBdr>
          <w:left w:val="single" w:color="C00000" w:sz="12" w:space="8"/>
        </w:pBdr>
        <w:spacing w:after="120" w:before="120"/>
      </w:pPr>
      <w:r>
        <w:rPr>
          <w:rFonts w:ascii="Arial" w:cs="Arial" w:eastAsia="Arial" w:hAnsi="Arial"/>
          <w:b/>
          <w:bCs/>
          <w:color w:val="C00000"/>
          <w:sz w:val="22"/>
          <w:szCs w:val="22"/>
        </w:rPr>
        <w:t xml:space="preserve">⚠️  Aucune vente ne peut démarrer tant que les CGV ne sont pas publiées. C'est une obligation légale dont l'absence peut entraîner la nullité des contrats passés.</w:t>
      </w:r>
    </w:p>
    <w:p>
      <w:pPr>
        <w:pStyle w:val="Heading1"/>
        <w:pageBreakBefore/>
      </w:pPr>
      <w:r>
        <w:rPr>
          <w:rFonts w:ascii="Arial" w:cs="Arial" w:eastAsia="Arial" w:hAnsi="Arial"/>
          <w:b/>
          <w:bCs/>
          <w:color w:val="1F4E79"/>
          <w:sz w:val="36"/>
          <w:szCs w:val="36"/>
        </w:rPr>
        <w:t xml:space="preserve">📈  CHAPEAU MARKETING DIGITAL — Stratégie et Flux de Revenus</w:t>
      </w:r>
    </w:p>
    <w:p>
      <w:pPr>
        <w:spacing w:after="120"/>
      </w:pPr>
      <w:r>
        <w:rPr>
          <w:rFonts w:ascii="Arial" w:cs="Arial" w:eastAsia="Arial" w:hAnsi="Arial"/>
          <w:color w:val="404040"/>
          <w:sz w:val="22"/>
          <w:szCs w:val="22"/>
        </w:rPr>
        <w:t xml:space="preserve">NEXUS CONFORMITÉ est un business d'éditeur de contenu et d'intermédiaire. Zéro stock, zéro conseil direct, zéro responsabilité opérationnelle. Revenu 100 % automatisé une fois les flux en place.</w:t>
      </w:r>
    </w:p>
    <w:p>
      <w:pPr>
        <w:spacing w:after="80"/>
      </w:pPr>
      <w:r>
        <w:t xml:space="preserve"/>
      </w:r>
    </w:p>
    <w:p>
      <w:pPr>
        <w:pStyle w:val="Heading2"/>
      </w:pPr>
      <w:r>
        <w:rPr>
          <w:rFonts w:ascii="Arial" w:cs="Arial" w:eastAsia="Arial" w:hAnsi="Arial"/>
          <w:b/>
          <w:bCs/>
          <w:color w:val="2E75B6"/>
          <w:sz w:val="28"/>
          <w:szCs w:val="28"/>
        </w:rPr>
        <w:t xml:space="preserve">2.1  Vision Globale du Business</w:t>
      </w:r>
    </w:p>
    <w:p>
      <w:pPr>
        <w:spacing w:after="120"/>
      </w:pPr>
      <w:r>
        <w:rPr>
          <w:rFonts w:ascii="Arial" w:cs="Arial" w:eastAsia="Arial" w:hAnsi="Arial"/>
          <w:color w:val="404040"/>
          <w:sz w:val="22"/>
          <w:szCs w:val="22"/>
        </w:rPr>
        <w:t xml:space="preserve">Le modèle repose sur 4 piliers complémentaires, chacun apportant un flux de revenu distinct. L'un renforce l'autre.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300"/>
        <w:gridCol w:w="22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Pilier</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Produit / Service</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Revenu</w:t>
            </w:r>
          </w:p>
        </w:tc>
        <w:tc>
          <w:tcPr>
            <w:tcW w:type="dxa" w:w="2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1 — Kits conformité</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Kit RGPD + Kit NIS2 (PDF)</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One-shot 47–97 €</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 SEMAINE 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2 — Affiliation logiciels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Axonaut, Pennylane, Tiime...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Récurrent 15–40 %/mois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 SEMAINE 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3 — Comparateur SEO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Pages comparatives par catégorie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Affiliation au clic/conversion</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 MOIS 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4 — Newsletter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Veille conformité hebdomadaire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Audience → affiliation (gratuit) puis 9 €/mois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 MOIS 2</w:t>
            </w:r>
          </w:p>
        </w:tc>
      </w:tr>
    </w:tbl>
    <w:p>
      <w:pPr>
        <w:spacing w:after="80"/>
      </w:pPr>
      <w:r>
        <w:t xml:space="preserve"/>
      </w:r>
    </w:p>
    <w:p>
      <w:pPr>
        <w:pStyle w:val="Heading2"/>
      </w:pPr>
      <w:r>
        <w:rPr>
          <w:rFonts w:ascii="Arial" w:cs="Arial" w:eastAsia="Arial" w:hAnsi="Arial"/>
          <w:b/>
          <w:bCs/>
          <w:color w:val="2E75B6"/>
          <w:sz w:val="28"/>
          <w:szCs w:val="28"/>
        </w:rPr>
        <w:t xml:space="preserve">2.2  Pilier 1 — Les Kits Conformité (Produit d'Entrée)</w:t>
      </w:r>
    </w:p>
    <w:p>
      <w:pPr>
        <w:pStyle w:val="Heading3"/>
      </w:pPr>
      <w:r>
        <w:rPr>
          <w:rFonts w:ascii="Arial" w:cs="Arial" w:eastAsia="Arial" w:hAnsi="Arial"/>
          <w:b/>
          <w:bCs/>
          <w:color w:val="404040"/>
          <w:sz w:val="24"/>
          <w:szCs w:val="24"/>
        </w:rPr>
        <w:t xml:space="preserve">Kit RGPD — Contenu attendu</w:t>
      </w:r>
    </w:p>
    <w:p>
      <w:pPr>
        <w:spacing w:after="120"/>
      </w:pPr>
      <w:r>
        <w:rPr>
          <w:rFonts w:ascii="Arial" w:cs="Arial" w:eastAsia="Arial" w:hAnsi="Arial"/>
          <w:color w:val="404040"/>
          <w:sz w:val="22"/>
          <w:szCs w:val="22"/>
        </w:rPr>
        <w:t xml:space="preserve">Un dirigeant de PME qui achète ce kit doit pouvoir l'utiliser sans avoir lu une seule ligne de texte juridique. Il ouvre le document, suit les étapes numérotées, et il est opérationnel. Voici ce qu'il doit contenir :</w:t>
      </w:r>
    </w:p>
    <w:p>
      <w:pPr>
        <w:pStyle w:val="ListParagraph"/>
        <w:numPr>
          <w:ilvl w:val="0"/>
          <w:numId w:val="2"/>
        </w:numPr>
        <w:spacing w:after="80"/>
      </w:pPr>
      <w:r>
        <w:rPr>
          <w:rFonts w:ascii="Arial" w:cs="Arial" w:eastAsia="Arial" w:hAnsi="Arial"/>
          <w:b/>
          <w:bCs/>
          <w:color w:val="404040"/>
          <w:sz w:val="22"/>
          <w:szCs w:val="22"/>
        </w:rPr>
        <w:t xml:space="preserve">Document 1 — </w:t>
      </w:r>
      <w:r>
        <w:rPr>
          <w:rFonts w:ascii="Arial" w:cs="Arial" w:eastAsia="Arial" w:hAnsi="Arial"/>
          <w:color w:val="404040"/>
          <w:sz w:val="22"/>
          <w:szCs w:val="22"/>
        </w:rPr>
        <w:t xml:space="preserve">Registre des traitements</w:t>
      </w:r>
    </w:p>
    <w:p>
      <w:pPr>
        <w:pStyle w:val="ListParagraph"/>
        <w:numPr>
          <w:ilvl w:val="0"/>
          <w:numId w:val="2"/>
        </w:numPr>
        <w:spacing w:after="80"/>
      </w:pPr>
      <w:r>
        <w:rPr>
          <w:rFonts w:ascii="Arial" w:cs="Arial" w:eastAsia="Arial" w:hAnsi="Arial"/>
          <w:color w:val="404040"/>
          <w:sz w:val="22"/>
          <w:szCs w:val="22"/>
        </w:rPr>
        <w:t xml:space="preserve">Modèle complet personnalisable avec 15 traitements types pour PME (facturation, RH, marketing, cookies...)</w:t>
      </w:r>
    </w:p>
    <w:p>
      <w:pPr>
        <w:pStyle w:val="ListParagraph"/>
        <w:numPr>
          <w:ilvl w:val="0"/>
          <w:numId w:val="2"/>
        </w:numPr>
        <w:spacing w:after="80"/>
      </w:pPr>
      <w:r>
        <w:rPr>
          <w:rFonts w:ascii="Arial" w:cs="Arial" w:eastAsia="Arial" w:hAnsi="Arial"/>
          <w:b/>
          <w:bCs/>
          <w:color w:val="404040"/>
          <w:sz w:val="22"/>
          <w:szCs w:val="22"/>
        </w:rPr>
        <w:t xml:space="preserve">Document 2 — </w:t>
      </w:r>
      <w:r>
        <w:rPr>
          <w:rFonts w:ascii="Arial" w:cs="Arial" w:eastAsia="Arial" w:hAnsi="Arial"/>
          <w:color w:val="404040"/>
          <w:sz w:val="22"/>
          <w:szCs w:val="22"/>
        </w:rPr>
        <w:t xml:space="preserve">Politique de confidentialité</w:t>
      </w:r>
    </w:p>
    <w:p>
      <w:pPr>
        <w:pStyle w:val="ListParagraph"/>
        <w:numPr>
          <w:ilvl w:val="0"/>
          <w:numId w:val="2"/>
        </w:numPr>
        <w:spacing w:after="80"/>
      </w:pPr>
      <w:r>
        <w:rPr>
          <w:rFonts w:ascii="Arial" w:cs="Arial" w:eastAsia="Arial" w:hAnsi="Arial"/>
          <w:color w:val="404040"/>
          <w:sz w:val="22"/>
          <w:szCs w:val="22"/>
        </w:rPr>
        <w:t xml:space="preserve">Template prêt à copier-coller sur le site, adapté au secteur</w:t>
      </w:r>
    </w:p>
    <w:p>
      <w:pPr>
        <w:pStyle w:val="ListParagraph"/>
        <w:numPr>
          <w:ilvl w:val="0"/>
          <w:numId w:val="2"/>
        </w:numPr>
        <w:spacing w:after="80"/>
      </w:pPr>
      <w:r>
        <w:rPr>
          <w:rFonts w:ascii="Arial" w:cs="Arial" w:eastAsia="Arial" w:hAnsi="Arial"/>
          <w:b/>
          <w:bCs/>
          <w:color w:val="404040"/>
          <w:sz w:val="22"/>
          <w:szCs w:val="22"/>
        </w:rPr>
        <w:t xml:space="preserve">Document 3 — </w:t>
      </w:r>
      <w:r>
        <w:rPr>
          <w:rFonts w:ascii="Arial" w:cs="Arial" w:eastAsia="Arial" w:hAnsi="Arial"/>
          <w:color w:val="404040"/>
          <w:sz w:val="22"/>
          <w:szCs w:val="22"/>
        </w:rPr>
        <w:t xml:space="preserve">Procédure de violation de données</w:t>
      </w:r>
    </w:p>
    <w:p>
      <w:pPr>
        <w:pStyle w:val="ListParagraph"/>
        <w:numPr>
          <w:ilvl w:val="0"/>
          <w:numId w:val="2"/>
        </w:numPr>
        <w:spacing w:after="80"/>
      </w:pPr>
      <w:r>
        <w:rPr>
          <w:rFonts w:ascii="Arial" w:cs="Arial" w:eastAsia="Arial" w:hAnsi="Arial"/>
          <w:color w:val="404040"/>
          <w:sz w:val="22"/>
          <w:szCs w:val="22"/>
        </w:rPr>
        <w:t xml:space="preserve">Fiche réflexe : que faire en 48 h si une fuite est détectée</w:t>
      </w:r>
    </w:p>
    <w:p>
      <w:pPr>
        <w:pStyle w:val="ListParagraph"/>
        <w:numPr>
          <w:ilvl w:val="0"/>
          <w:numId w:val="2"/>
        </w:numPr>
        <w:spacing w:after="80"/>
      </w:pPr>
      <w:r>
        <w:rPr>
          <w:rFonts w:ascii="Arial" w:cs="Arial" w:eastAsia="Arial" w:hAnsi="Arial"/>
          <w:b/>
          <w:bCs/>
          <w:color w:val="404040"/>
          <w:sz w:val="22"/>
          <w:szCs w:val="22"/>
        </w:rPr>
        <w:t xml:space="preserve">Document 4 — </w:t>
      </w:r>
      <w:r>
        <w:rPr>
          <w:rFonts w:ascii="Arial" w:cs="Arial" w:eastAsia="Arial" w:hAnsi="Arial"/>
          <w:color w:val="404040"/>
          <w:sz w:val="22"/>
          <w:szCs w:val="22"/>
        </w:rPr>
        <w:t xml:space="preserve">Checklist d'audit RGPD</w:t>
      </w:r>
    </w:p>
    <w:p>
      <w:pPr>
        <w:pStyle w:val="ListParagraph"/>
        <w:numPr>
          <w:ilvl w:val="0"/>
          <w:numId w:val="2"/>
        </w:numPr>
        <w:spacing w:after="80"/>
      </w:pPr>
      <w:r>
        <w:rPr>
          <w:rFonts w:ascii="Arial" w:cs="Arial" w:eastAsia="Arial" w:hAnsi="Arial"/>
          <w:color w:val="404040"/>
          <w:sz w:val="22"/>
          <w:szCs w:val="22"/>
        </w:rPr>
        <w:t xml:space="preserve">50 points de contrôle avec cases à cocher — score de conformité calculable</w:t>
      </w:r>
    </w:p>
    <w:p>
      <w:pPr>
        <w:pStyle w:val="ListParagraph"/>
        <w:numPr>
          <w:ilvl w:val="0"/>
          <w:numId w:val="2"/>
        </w:numPr>
        <w:spacing w:after="80"/>
      </w:pPr>
      <w:r>
        <w:rPr>
          <w:rFonts w:ascii="Arial" w:cs="Arial" w:eastAsia="Arial" w:hAnsi="Arial"/>
          <w:b/>
          <w:bCs/>
          <w:color w:val="404040"/>
          <w:sz w:val="22"/>
          <w:szCs w:val="22"/>
        </w:rPr>
        <w:t xml:space="preserve">Document 5 — </w:t>
      </w:r>
      <w:r>
        <w:rPr>
          <w:rFonts w:ascii="Arial" w:cs="Arial" w:eastAsia="Arial" w:hAnsi="Arial"/>
          <w:color w:val="404040"/>
          <w:sz w:val="22"/>
          <w:szCs w:val="22"/>
        </w:rPr>
        <w:t xml:space="preserve">Clauses sous-traitants</w:t>
      </w:r>
    </w:p>
    <w:p>
      <w:pPr>
        <w:pStyle w:val="ListParagraph"/>
        <w:numPr>
          <w:ilvl w:val="0"/>
          <w:numId w:val="2"/>
        </w:numPr>
        <w:spacing w:after="80"/>
      </w:pPr>
      <w:r>
        <w:rPr>
          <w:rFonts w:ascii="Arial" w:cs="Arial" w:eastAsia="Arial" w:hAnsi="Arial"/>
          <w:color w:val="404040"/>
          <w:sz w:val="22"/>
          <w:szCs w:val="22"/>
        </w:rPr>
        <w:t xml:space="preserve">Modèle d'avenant DPA (Data Processing Agreement) à insérer dans les contrats prestataires</w:t>
      </w:r>
    </w:p>
    <w:p>
      <w:pPr>
        <w:pStyle w:val="ListParagraph"/>
        <w:numPr>
          <w:ilvl w:val="0"/>
          <w:numId w:val="2"/>
        </w:numPr>
        <w:spacing w:after="80"/>
      </w:pPr>
      <w:r>
        <w:rPr>
          <w:rFonts w:ascii="Arial" w:cs="Arial" w:eastAsia="Arial" w:hAnsi="Arial"/>
          <w:b/>
          <w:bCs/>
          <w:color w:val="404040"/>
          <w:sz w:val="22"/>
          <w:szCs w:val="22"/>
        </w:rPr>
        <w:t xml:space="preserve">Document 6 — </w:t>
      </w:r>
      <w:r>
        <w:rPr>
          <w:rFonts w:ascii="Arial" w:cs="Arial" w:eastAsia="Arial" w:hAnsi="Arial"/>
          <w:color w:val="404040"/>
          <w:sz w:val="22"/>
          <w:szCs w:val="22"/>
        </w:rPr>
        <w:t xml:space="preserve">Guide cookies</w:t>
      </w:r>
    </w:p>
    <w:p>
      <w:pPr>
        <w:pStyle w:val="ListParagraph"/>
        <w:numPr>
          <w:ilvl w:val="0"/>
          <w:numId w:val="2"/>
        </w:numPr>
        <w:spacing w:after="80"/>
      </w:pPr>
      <w:r>
        <w:rPr>
          <w:rFonts w:ascii="Arial" w:cs="Arial" w:eastAsia="Arial" w:hAnsi="Arial"/>
          <w:color w:val="404040"/>
          <w:sz w:val="22"/>
          <w:szCs w:val="22"/>
        </w:rPr>
        <w:t xml:space="preserve">Comment configurer Axeptio ou autre CMP — pas-à-pas illustré</w:t>
      </w:r>
    </w:p>
    <w:p>
      <w:pPr>
        <w:spacing w:after="80"/>
      </w:pPr>
      <w:r>
        <w:t xml:space="preserve"/>
      </w:r>
    </w:p>
    <w:p>
      <w:pPr>
        <w:pBdr>
          <w:left w:val="single" w:color="2E75B6" w:sz="12" w:space="8"/>
        </w:pBdr>
        <w:spacing w:after="120" w:before="120"/>
      </w:pPr>
      <w:r>
        <w:rPr>
          <w:rFonts w:ascii="Arial" w:cs="Arial" w:eastAsia="Arial" w:hAnsi="Arial"/>
          <w:color w:val="2E75B6"/>
          <w:sz w:val="22"/>
          <w:szCs w:val="22"/>
        </w:rPr>
        <w:t xml:space="preserve">💡  Prix recommandé : 47 € (entrée de gamme, volume) ou 97 € avec le Kit NIS2 en bundle. Sur Gumroad : 47 € = 42,30 € net (Gumroad prend 10 %). 100 ventes/mois = 4 230 € nets.</w:t>
      </w:r>
    </w:p>
    <w:p>
      <w:pPr>
        <w:pStyle w:val="Heading3"/>
      </w:pPr>
      <w:r>
        <w:rPr>
          <w:rFonts w:ascii="Arial" w:cs="Arial" w:eastAsia="Arial" w:hAnsi="Arial"/>
          <w:b/>
          <w:bCs/>
          <w:color w:val="404040"/>
          <w:sz w:val="24"/>
          <w:szCs w:val="24"/>
        </w:rPr>
        <w:t xml:space="preserve">Kit NIS2 — Contenu attendu</w:t>
      </w:r>
    </w:p>
    <w:p>
      <w:pPr>
        <w:pStyle w:val="ListParagraph"/>
        <w:numPr>
          <w:ilvl w:val="0"/>
          <w:numId w:val="2"/>
        </w:numPr>
        <w:spacing w:after="80"/>
      </w:pPr>
      <w:r>
        <w:rPr>
          <w:rFonts w:ascii="Arial" w:cs="Arial" w:eastAsia="Arial" w:hAnsi="Arial"/>
          <w:b/>
          <w:bCs/>
          <w:color w:val="404040"/>
          <w:sz w:val="22"/>
          <w:szCs w:val="22"/>
        </w:rPr>
        <w:t xml:space="preserve">Document 1 — </w:t>
      </w:r>
      <w:r>
        <w:rPr>
          <w:rFonts w:ascii="Arial" w:cs="Arial" w:eastAsia="Arial" w:hAnsi="Arial"/>
          <w:color w:val="404040"/>
          <w:sz w:val="22"/>
          <w:szCs w:val="22"/>
        </w:rPr>
        <w:t xml:space="preserve">Diagnostic rapide : suis-je concerné par NIS2 ?</w:t>
      </w:r>
    </w:p>
    <w:p>
      <w:pPr>
        <w:pStyle w:val="ListParagraph"/>
        <w:numPr>
          <w:ilvl w:val="0"/>
          <w:numId w:val="2"/>
        </w:numPr>
        <w:spacing w:after="80"/>
      </w:pPr>
      <w:r>
        <w:rPr>
          <w:rFonts w:ascii="Arial" w:cs="Arial" w:eastAsia="Arial" w:hAnsi="Arial"/>
          <w:color w:val="404040"/>
          <w:sz w:val="22"/>
          <w:szCs w:val="22"/>
        </w:rPr>
        <w:t xml:space="preserve">Arbre de décision visuel en 10 questions</w:t>
      </w:r>
    </w:p>
    <w:p>
      <w:pPr>
        <w:pStyle w:val="ListParagraph"/>
        <w:numPr>
          <w:ilvl w:val="0"/>
          <w:numId w:val="2"/>
        </w:numPr>
        <w:spacing w:after="80"/>
      </w:pPr>
      <w:r>
        <w:rPr>
          <w:rFonts w:ascii="Arial" w:cs="Arial" w:eastAsia="Arial" w:hAnsi="Arial"/>
          <w:b/>
          <w:bCs/>
          <w:color w:val="404040"/>
          <w:sz w:val="22"/>
          <w:szCs w:val="22"/>
        </w:rPr>
        <w:t xml:space="preserve">Document 2 — </w:t>
      </w:r>
      <w:r>
        <w:rPr>
          <w:rFonts w:ascii="Arial" w:cs="Arial" w:eastAsia="Arial" w:hAnsi="Arial"/>
          <w:color w:val="404040"/>
          <w:sz w:val="22"/>
          <w:szCs w:val="22"/>
        </w:rPr>
        <w:t xml:space="preserve">Plan d'action NIS2 pour PME</w:t>
      </w:r>
    </w:p>
    <w:p>
      <w:pPr>
        <w:pStyle w:val="ListParagraph"/>
        <w:numPr>
          <w:ilvl w:val="0"/>
          <w:numId w:val="2"/>
        </w:numPr>
        <w:spacing w:after="80"/>
      </w:pPr>
      <w:r>
        <w:rPr>
          <w:rFonts w:ascii="Arial" w:cs="Arial" w:eastAsia="Arial" w:hAnsi="Arial"/>
          <w:color w:val="404040"/>
          <w:sz w:val="22"/>
          <w:szCs w:val="22"/>
        </w:rPr>
        <w:t xml:space="preserve">Feuille de route 12 mois pour les entités importantes</w:t>
      </w:r>
    </w:p>
    <w:p>
      <w:pPr>
        <w:pStyle w:val="ListParagraph"/>
        <w:numPr>
          <w:ilvl w:val="0"/>
          <w:numId w:val="2"/>
        </w:numPr>
        <w:spacing w:after="80"/>
      </w:pPr>
      <w:r>
        <w:rPr>
          <w:rFonts w:ascii="Arial" w:cs="Arial" w:eastAsia="Arial" w:hAnsi="Arial"/>
          <w:b/>
          <w:bCs/>
          <w:color w:val="404040"/>
          <w:sz w:val="22"/>
          <w:szCs w:val="22"/>
        </w:rPr>
        <w:t xml:space="preserve">Document 3 — </w:t>
      </w:r>
      <w:r>
        <w:rPr>
          <w:rFonts w:ascii="Arial" w:cs="Arial" w:eastAsia="Arial" w:hAnsi="Arial"/>
          <w:color w:val="404040"/>
          <w:sz w:val="22"/>
          <w:szCs w:val="22"/>
        </w:rPr>
        <w:t xml:space="preserve">Politique de sécurité de l'information (PSSI)</w:t>
      </w:r>
    </w:p>
    <w:p>
      <w:pPr>
        <w:pStyle w:val="ListParagraph"/>
        <w:numPr>
          <w:ilvl w:val="0"/>
          <w:numId w:val="2"/>
        </w:numPr>
        <w:spacing w:after="80"/>
      </w:pPr>
      <w:r>
        <w:rPr>
          <w:rFonts w:ascii="Arial" w:cs="Arial" w:eastAsia="Arial" w:hAnsi="Arial"/>
          <w:color w:val="404040"/>
          <w:sz w:val="22"/>
          <w:szCs w:val="22"/>
        </w:rPr>
        <w:t xml:space="preserve">Template PSSI conforme ANSSI, adaptable en 2h</w:t>
      </w:r>
    </w:p>
    <w:p>
      <w:pPr>
        <w:pStyle w:val="ListParagraph"/>
        <w:numPr>
          <w:ilvl w:val="0"/>
          <w:numId w:val="2"/>
        </w:numPr>
        <w:spacing w:after="80"/>
      </w:pPr>
      <w:r>
        <w:rPr>
          <w:rFonts w:ascii="Arial" w:cs="Arial" w:eastAsia="Arial" w:hAnsi="Arial"/>
          <w:b/>
          <w:bCs/>
          <w:color w:val="404040"/>
          <w:sz w:val="22"/>
          <w:szCs w:val="22"/>
        </w:rPr>
        <w:t xml:space="preserve">Document 4 — </w:t>
      </w:r>
      <w:r>
        <w:rPr>
          <w:rFonts w:ascii="Arial" w:cs="Arial" w:eastAsia="Arial" w:hAnsi="Arial"/>
          <w:color w:val="404040"/>
          <w:sz w:val="22"/>
          <w:szCs w:val="22"/>
        </w:rPr>
        <w:t xml:space="preserve">Procédure de notification d'incident</w:t>
      </w:r>
    </w:p>
    <w:p>
      <w:pPr>
        <w:pStyle w:val="ListParagraph"/>
        <w:numPr>
          <w:ilvl w:val="0"/>
          <w:numId w:val="2"/>
        </w:numPr>
        <w:spacing w:after="80"/>
      </w:pPr>
      <w:r>
        <w:rPr>
          <w:rFonts w:ascii="Arial" w:cs="Arial" w:eastAsia="Arial" w:hAnsi="Arial"/>
          <w:color w:val="404040"/>
          <w:sz w:val="22"/>
          <w:szCs w:val="22"/>
        </w:rPr>
        <w:t xml:space="preserve">Fiche réflexe 24h/72h conforme à la directive</w:t>
      </w:r>
    </w:p>
    <w:p>
      <w:pPr>
        <w:spacing w:after="80"/>
      </w:pPr>
      <w:r>
        <w:t xml:space="preserve"/>
      </w:r>
    </w:p>
    <w:p>
      <w:pPr>
        <w:pStyle w:val="Heading2"/>
      </w:pPr>
      <w:r>
        <w:rPr>
          <w:rFonts w:ascii="Arial" w:cs="Arial" w:eastAsia="Arial" w:hAnsi="Arial"/>
          <w:b/>
          <w:bCs/>
          <w:color w:val="2E75B6"/>
          <w:sz w:val="28"/>
          <w:szCs w:val="28"/>
        </w:rPr>
        <w:t xml:space="preserve">2.3  Pilier 2 — Affiliation Axonaut (Flagship)</w:t>
      </w:r>
    </w:p>
    <w:p>
      <w:pPr>
        <w:spacing w:after="120"/>
      </w:pPr>
      <w:r>
        <w:rPr>
          <w:rFonts w:ascii="Arial" w:cs="Arial" w:eastAsia="Arial" w:hAnsi="Arial"/>
          <w:color w:val="404040"/>
          <w:sz w:val="22"/>
          <w:szCs w:val="22"/>
        </w:rPr>
        <w:t xml:space="preserve">C'est le flux de revenu le plus puissant du projet. Voici exactement comment ça fonctionne et ce que ça rapporte.</w:t>
      </w:r>
    </w:p>
    <w:p>
      <w:pPr>
        <w:pStyle w:val="Heading3"/>
      </w:pPr>
      <w:r>
        <w:rPr>
          <w:rFonts w:ascii="Arial" w:cs="Arial" w:eastAsia="Arial" w:hAnsi="Arial"/>
          <w:b/>
          <w:bCs/>
          <w:color w:val="404040"/>
          <w:sz w:val="24"/>
          <w:szCs w:val="24"/>
        </w:rPr>
        <w:t xml:space="preserve">Mécanique</w:t>
      </w:r>
    </w:p>
    <w:p>
      <w:pPr>
        <w:spacing w:after="120"/>
      </w:pPr>
      <w:r>
        <w:rPr>
          <w:rFonts w:ascii="Arial" w:cs="Arial" w:eastAsia="Arial" w:hAnsi="Arial"/>
          <w:color w:val="404040"/>
          <w:sz w:val="22"/>
          <w:szCs w:val="22"/>
        </w:rPr>
        <w:t xml:space="preserve">Axonaut est un logiciel de gestion tout-en-un pour PME (facturation électronique conforme 2026, CRM, comptabilité, gestion de projet). Il coûte environ 49 €/mois par entreprise. Le programme partenaire offre 40 % de commission récurrente mensuelle, versée automatiquement tant que le client est abonné.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1500"/>
        <w:gridCol w:w="14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Scénario</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Clients affiliés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Abonnement Axonaut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Votre commission</w:t>
            </w:r>
          </w:p>
        </w:tc>
        <w:tc>
          <w:tcPr>
            <w:tcW w:type="dxa" w:w="1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Revenu/mois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Démarrage (M3)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49 €/mois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40 %</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196 €/mois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Croissance (M6)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49 €/mois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40 %</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980 €/mois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Maturité (M12)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200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49 €/mois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40 %</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3 920 €/mois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FFFFFF"/>
                <w:sz w:val="20"/>
                <w:szCs w:val="20"/>
              </w:rPr>
              <w:t xml:space="preserve">Objectif M24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FFFFFF"/>
                <w:sz w:val="20"/>
                <w:szCs w:val="20"/>
              </w:rPr>
              <w:t xml:space="preserve">500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FFFFFF"/>
                <w:sz w:val="20"/>
                <w:szCs w:val="20"/>
              </w:rPr>
              <w:t xml:space="preserve">49 €/mois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FFFFFF"/>
                <w:sz w:val="20"/>
                <w:szCs w:val="20"/>
              </w:rPr>
              <w:t xml:space="preserve">40 %</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FFFFFF"/>
                <w:sz w:val="20"/>
                <w:szCs w:val="20"/>
              </w:rPr>
              <w:t xml:space="preserve">9 800 €/mois</w:t>
            </w:r>
          </w:p>
        </w:tc>
      </w:tr>
    </w:tbl>
    <w:p>
      <w:pPr>
        <w:spacing w:after="80"/>
      </w:pPr>
      <w:r>
        <w:t xml:space="preserve"/>
      </w:r>
    </w:p>
    <w:p>
      <w:pPr>
        <w:pBdr>
          <w:left w:val="single" w:color="2E75B6" w:sz="12" w:space="8"/>
        </w:pBdr>
        <w:spacing w:after="120" w:before="120"/>
      </w:pPr>
      <w:r>
        <w:rPr>
          <w:rFonts w:ascii="Arial" w:cs="Arial" w:eastAsia="Arial" w:hAnsi="Arial"/>
          <w:color w:val="2E75B6"/>
          <w:sz w:val="22"/>
          <w:szCs w:val="22"/>
        </w:rPr>
        <w:t xml:space="preserve">💡  Premier versement : le mois suivant l'inscription du client, puis automatiquement chaque mois. Si le client résilie, la commission cesse. Si il reste 5 ans, vous touchez pendant 5 ans.</w:t>
      </w:r>
    </w:p>
    <w:p>
      <w:pPr>
        <w:spacing w:after="120"/>
      </w:pPr>
      <w:r>
        <w:rPr>
          <w:rFonts w:ascii="Arial" w:cs="Arial" w:eastAsia="Arial" w:hAnsi="Arial"/>
          <w:color w:val="404040"/>
          <w:sz w:val="22"/>
          <w:szCs w:val="22"/>
        </w:rPr>
        <w:t xml:space="preserve">Autres affiliations à activer en parallèle :</w:t>
      </w:r>
    </w:p>
    <w:p>
      <w:pPr>
        <w:pStyle w:val="ListParagraph"/>
        <w:numPr>
          <w:ilvl w:val="0"/>
          <w:numId w:val="2"/>
        </w:numPr>
        <w:spacing w:after="80"/>
      </w:pPr>
      <w:r>
        <w:rPr>
          <w:rFonts w:ascii="Arial" w:cs="Arial" w:eastAsia="Arial" w:hAnsi="Arial"/>
          <w:color w:val="404040"/>
          <w:sz w:val="22"/>
          <w:szCs w:val="22"/>
        </w:rPr>
        <w:t xml:space="preserve">Pennylane (comptabilité + facturation) — commission à négocier ~20-30 % récurrent</w:t>
      </w:r>
    </w:p>
    <w:p>
      <w:pPr>
        <w:pStyle w:val="ListParagraph"/>
        <w:numPr>
          <w:ilvl w:val="0"/>
          <w:numId w:val="2"/>
        </w:numPr>
        <w:spacing w:after="80"/>
      </w:pPr>
      <w:r>
        <w:rPr>
          <w:rFonts w:ascii="Arial" w:cs="Arial" w:eastAsia="Arial" w:hAnsi="Arial"/>
          <w:color w:val="404040"/>
          <w:sz w:val="22"/>
          <w:szCs w:val="22"/>
        </w:rPr>
        <w:t xml:space="preserve">Tiime (facturation gratuite/premium) — contact commercial pour programme partenaire</w:t>
      </w:r>
    </w:p>
    <w:p>
      <w:pPr>
        <w:pStyle w:val="ListParagraph"/>
        <w:numPr>
          <w:ilvl w:val="0"/>
          <w:numId w:val="2"/>
        </w:numPr>
        <w:spacing w:after="80"/>
      </w:pPr>
      <w:r>
        <w:rPr>
          <w:rFonts w:ascii="Arial" w:cs="Arial" w:eastAsia="Arial" w:hAnsi="Arial"/>
          <w:color w:val="404040"/>
          <w:sz w:val="22"/>
          <w:szCs w:val="22"/>
        </w:rPr>
        <w:t xml:space="preserve">Axeptio (cookie banner RGPD) — ~20 % première souscription</w:t>
      </w:r>
    </w:p>
    <w:p>
      <w:pPr>
        <w:pStyle w:val="ListParagraph"/>
        <w:numPr>
          <w:ilvl w:val="0"/>
          <w:numId w:val="2"/>
        </w:numPr>
        <w:spacing w:after="80"/>
      </w:pPr>
      <w:r>
        <w:rPr>
          <w:rFonts w:ascii="Arial" w:cs="Arial" w:eastAsia="Arial" w:hAnsi="Arial"/>
          <w:color w:val="404040"/>
          <w:sz w:val="22"/>
          <w:szCs w:val="22"/>
        </w:rPr>
        <w:t xml:space="preserve">Assurance cyber (Hiscox, AXA) — 5-15 % de la prime annuelle</w:t>
      </w:r>
    </w:p>
    <w:p>
      <w:pPr>
        <w:spacing w:after="80"/>
      </w:pPr>
      <w:r>
        <w:t xml:space="preserve"/>
      </w:r>
    </w:p>
    <w:p>
      <w:pPr>
        <w:pStyle w:val="Heading2"/>
      </w:pPr>
      <w:r>
        <w:rPr>
          <w:rFonts w:ascii="Arial" w:cs="Arial" w:eastAsia="Arial" w:hAnsi="Arial"/>
          <w:b/>
          <w:bCs/>
          <w:color w:val="2E75B6"/>
          <w:sz w:val="28"/>
          <w:szCs w:val="28"/>
        </w:rPr>
        <w:t xml:space="preserve">2.4  Pilier 3 — Le Comparateur (Machine à Trafic SEO)</w:t>
      </w:r>
    </w:p>
    <w:p>
      <w:pPr>
        <w:spacing w:after="120"/>
      </w:pPr>
      <w:r>
        <w:rPr>
          <w:rFonts w:ascii="Arial" w:cs="Arial" w:eastAsia="Arial" w:hAnsi="Arial"/>
          <w:color w:val="404040"/>
          <w:sz w:val="22"/>
          <w:szCs w:val="22"/>
        </w:rPr>
        <w:t xml:space="preserve">Un comparateur c'est une page qui répond à une question précise posée sur Google. Chaque page = une intention de recherche = des visiteurs ciblés = des conversions en affiliation.</w:t>
      </w:r>
    </w:p>
    <w:p>
      <w:pPr>
        <w:pStyle w:val="Heading3"/>
      </w:pPr>
      <w:r>
        <w:rPr>
          <w:rFonts w:ascii="Arial" w:cs="Arial" w:eastAsia="Arial" w:hAnsi="Arial"/>
          <w:b/>
          <w:bCs/>
          <w:color w:val="404040"/>
          <w:sz w:val="24"/>
          <w:szCs w:val="24"/>
        </w:rPr>
        <w:t xml:space="preserve">Catégories à couvrir (par ordre de trafic potentiel)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1680"/>
        <w:gridCol w:w="148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Catégorie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Mots-clés cibles</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Volume estimé</w:t>
            </w:r>
          </w:p>
        </w:tc>
        <w:tc>
          <w:tcPr>
            <w:tcW w:type="dxa" w:w="1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Affiliation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Logiciels facturation électronique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'logiciel facturation PME 2026', 'meilleur logiciel facturation'</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12 000/mois</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Axonaut, Pennylane, Tiime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Logiciels comptabilité PME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'logiciel comptabilité auto-entrepreneur', 'meilleur compta PME'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8 000/mois</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Axonaut, Pennylane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Outils conformité RGPD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'outil mise en conformité RGPD', 'logiciel DPO'</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3 500/mois</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OneTrust, Axeptio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Signature électronique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'signature électronique PME', 'meilleur e-signature'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6 000/mois</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YouSign, DocuSign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Coffre-fort numérique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'coffre fort numérique entreprise', 'archivage factures'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2 000/mois</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Digiposte, LeBonDoc</w:t>
            </w:r>
          </w:p>
        </w:tc>
      </w:tr>
    </w:tbl>
    <w:p>
      <w:pPr>
        <w:spacing w:after="80"/>
      </w:pPr>
      <w:r>
        <w:t xml:space="preserve"/>
      </w:r>
    </w:p>
    <w:p>
      <w:pPr>
        <w:pBdr>
          <w:left w:val="single" w:color="2E75B6" w:sz="12" w:space="8"/>
        </w:pBdr>
        <w:spacing w:after="120" w:before="120"/>
      </w:pPr>
      <w:r>
        <w:rPr>
          <w:rFonts w:ascii="Arial" w:cs="Arial" w:eastAsia="Arial" w:hAnsi="Arial"/>
          <w:color w:val="2E75B6"/>
          <w:sz w:val="22"/>
          <w:szCs w:val="22"/>
        </w:rPr>
        <w:t xml:space="preserve">💡  Automatisation N8N prévue : un workflow vérifie mensuellement les prix affichés sur les sites des éditeurs et alerte via Telegram si un changement de tarif est détecté — mise à jour du comparateur en 5 minutes.</w:t>
      </w:r>
    </w:p>
    <w:p>
      <w:pPr>
        <w:spacing w:after="80"/>
      </w:pPr>
      <w:r>
        <w:t xml:space="preserve"/>
      </w:r>
    </w:p>
    <w:p>
      <w:pPr>
        <w:pStyle w:val="Heading2"/>
      </w:pPr>
      <w:r>
        <w:rPr>
          <w:rFonts w:ascii="Arial" w:cs="Arial" w:eastAsia="Arial" w:hAnsi="Arial"/>
          <w:b/>
          <w:bCs/>
          <w:color w:val="2E75B6"/>
          <w:sz w:val="28"/>
          <w:szCs w:val="28"/>
        </w:rPr>
        <w:t xml:space="preserve">2.5  Pilier 4 — La Newsletter Conformité</w:t>
      </w:r>
    </w:p>
    <w:p>
      <w:pPr>
        <w:pStyle w:val="Heading3"/>
      </w:pPr>
      <w:r>
        <w:rPr>
          <w:rFonts w:ascii="Arial" w:cs="Arial" w:eastAsia="Arial" w:hAnsi="Arial"/>
          <w:b/>
          <w:bCs/>
          <w:color w:val="404040"/>
          <w:sz w:val="24"/>
          <w:szCs w:val="24"/>
        </w:rPr>
        <w:t xml:space="preserve">Format et positionnement</w:t>
      </w:r>
    </w:p>
    <w:p>
      <w:pPr>
        <w:spacing w:after="120"/>
      </w:pPr>
      <w:r>
        <w:rPr>
          <w:rFonts w:ascii="Arial" w:cs="Arial" w:eastAsia="Arial" w:hAnsi="Arial"/>
          <w:color w:val="404040"/>
          <w:sz w:val="22"/>
          <w:szCs w:val="22"/>
        </w:rPr>
        <w:t xml:space="preserve">La newsletter doit avoir la tonalité d'un dirigeant expérimenté qui partage ce qu'il sait — pas d'un robot IA. Les règles de rédaction pour le prompt N8N :</w:t>
      </w:r>
    </w:p>
    <w:p>
      <w:pPr>
        <w:pStyle w:val="ListParagraph"/>
        <w:numPr>
          <w:ilvl w:val="0"/>
          <w:numId w:val="2"/>
        </w:numPr>
        <w:spacing w:after="80"/>
      </w:pPr>
      <w:r>
        <w:rPr>
          <w:rFonts w:ascii="Arial" w:cs="Arial" w:eastAsia="Arial" w:hAnsi="Arial"/>
          <w:color w:val="404040"/>
          <w:sz w:val="22"/>
          <w:szCs w:val="22"/>
        </w:rPr>
        <w:t xml:space="preserve">Toujours commencer par un fait concret ou une actualité récente (JO, CNIL, ANSSI)</w:t>
      </w:r>
    </w:p>
    <w:p>
      <w:pPr>
        <w:pStyle w:val="ListParagraph"/>
        <w:numPr>
          <w:ilvl w:val="0"/>
          <w:numId w:val="2"/>
        </w:numPr>
        <w:spacing w:after="80"/>
      </w:pPr>
      <w:r>
        <w:rPr>
          <w:rFonts w:ascii="Arial" w:cs="Arial" w:eastAsia="Arial" w:hAnsi="Arial"/>
          <w:color w:val="404040"/>
          <w:sz w:val="22"/>
          <w:szCs w:val="22"/>
        </w:rPr>
        <w:t xml:space="preserve">Pas plus de 3 sujets par numéro — moins mais mieux</w:t>
      </w:r>
    </w:p>
    <w:p>
      <w:pPr>
        <w:pStyle w:val="ListParagraph"/>
        <w:numPr>
          <w:ilvl w:val="0"/>
          <w:numId w:val="2"/>
        </w:numPr>
        <w:spacing w:after="80"/>
      </w:pPr>
      <w:r>
        <w:rPr>
          <w:rFonts w:ascii="Arial" w:cs="Arial" w:eastAsia="Arial" w:hAnsi="Arial"/>
          <w:color w:val="404040"/>
          <w:sz w:val="22"/>
          <w:szCs w:val="22"/>
        </w:rPr>
        <w:t xml:space="preserve">Un conseil actionnable par sujet — 'ce que vous devez faire maintenant'</w:t>
      </w:r>
    </w:p>
    <w:p>
      <w:pPr>
        <w:pStyle w:val="ListParagraph"/>
        <w:numPr>
          <w:ilvl w:val="0"/>
          <w:numId w:val="2"/>
        </w:numPr>
        <w:spacing w:after="80"/>
      </w:pPr>
      <w:r>
        <w:rPr>
          <w:rFonts w:ascii="Arial" w:cs="Arial" w:eastAsia="Arial" w:hAnsi="Arial"/>
          <w:color w:val="404040"/>
          <w:sz w:val="22"/>
          <w:szCs w:val="22"/>
        </w:rPr>
        <w:t xml:space="preserve">Un lien affilié maximum visible par email — intégré naturellement, jamais en bandeau</w:t>
      </w:r>
    </w:p>
    <w:p>
      <w:pPr>
        <w:pStyle w:val="ListParagraph"/>
        <w:numPr>
          <w:ilvl w:val="0"/>
          <w:numId w:val="2"/>
        </w:numPr>
        <w:spacing w:after="80"/>
      </w:pPr>
      <w:r>
        <w:rPr>
          <w:rFonts w:ascii="Arial" w:cs="Arial" w:eastAsia="Arial" w:hAnsi="Arial"/>
          <w:color w:val="404040"/>
          <w:sz w:val="22"/>
          <w:szCs w:val="22"/>
        </w:rPr>
        <w:t xml:space="preserve">Signature : 'Dow — NEXUS CONFORMITÉ' — prénom visible, ton humain</w:t>
      </w:r>
    </w:p>
    <w:p>
      <w:pPr>
        <w:pStyle w:val="ListParagraph"/>
        <w:numPr>
          <w:ilvl w:val="0"/>
          <w:numId w:val="2"/>
        </w:numPr>
        <w:spacing w:after="80"/>
      </w:pPr>
      <w:r>
        <w:rPr>
          <w:rFonts w:ascii="Arial" w:cs="Arial" w:eastAsia="Arial" w:hAnsi="Arial"/>
          <w:color w:val="404040"/>
          <w:sz w:val="22"/>
          <w:szCs w:val="22"/>
        </w:rPr>
        <w:t xml:space="preserve">Revue humaine obligatoire avant envoi — 15 minutes maximum</w:t>
      </w:r>
    </w:p>
    <w:p>
      <w:pPr>
        <w:pStyle w:val="Heading3"/>
      </w:pPr>
      <w:r>
        <w:rPr>
          <w:rFonts w:ascii="Arial" w:cs="Arial" w:eastAsia="Arial" w:hAnsi="Arial"/>
          <w:b/>
          <w:bCs/>
          <w:color w:val="404040"/>
          <w:sz w:val="24"/>
          <w:szCs w:val="24"/>
        </w:rPr>
        <w:t xml:space="preserve">Modèle de revenus newsletter</w:t>
      </w:r>
    </w:p>
    <w:p>
      <w:pPr>
        <w:pStyle w:val="ListParagraph"/>
        <w:numPr>
          <w:ilvl w:val="0"/>
          <w:numId w:val="2"/>
        </w:numPr>
        <w:spacing w:after="80"/>
      </w:pPr>
      <w:r>
        <w:rPr>
          <w:rFonts w:ascii="Arial" w:cs="Arial" w:eastAsia="Arial" w:hAnsi="Arial"/>
          <w:color w:val="404040"/>
          <w:sz w:val="22"/>
          <w:szCs w:val="22"/>
        </w:rPr>
        <w:t xml:space="preserve">Phase 1 (0-500 abonnés) : gratuite, liens affiliés dans le contenu — revenu indirect</w:t>
      </w:r>
    </w:p>
    <w:p>
      <w:pPr>
        <w:pStyle w:val="ListParagraph"/>
        <w:numPr>
          <w:ilvl w:val="0"/>
          <w:numId w:val="2"/>
        </w:numPr>
        <w:spacing w:after="80"/>
      </w:pPr>
      <w:r>
        <w:rPr>
          <w:rFonts w:ascii="Arial" w:cs="Arial" w:eastAsia="Arial" w:hAnsi="Arial"/>
          <w:color w:val="404040"/>
          <w:sz w:val="22"/>
          <w:szCs w:val="22"/>
        </w:rPr>
        <w:t xml:space="preserve">Phase 2 (500-1 000 abonnés) : option premium à 9 €/mois — accès archives + bonus</w:t>
      </w:r>
    </w:p>
    <w:p>
      <w:pPr>
        <w:pStyle w:val="ListParagraph"/>
        <w:numPr>
          <w:ilvl w:val="0"/>
          <w:numId w:val="2"/>
        </w:numPr>
        <w:spacing w:after="80"/>
      </w:pPr>
      <w:r>
        <w:rPr>
          <w:rFonts w:ascii="Arial" w:cs="Arial" w:eastAsia="Arial" w:hAnsi="Arial"/>
          <w:color w:val="404040"/>
          <w:sz w:val="22"/>
          <w:szCs w:val="22"/>
        </w:rPr>
        <w:t xml:space="preserve">Phase 3 (1 000+ abonnés) : partenariats directs avec éditeurs (newsletter sponsorisée)</w:t>
      </w:r>
    </w:p>
    <w:p>
      <w:pPr>
        <w:spacing w:after="80"/>
      </w:pPr>
      <w:r>
        <w:t xml:space="preserve"/>
      </w:r>
    </w:p>
    <w:p>
      <w:pPr>
        <w:pStyle w:val="Heading2"/>
      </w:pPr>
      <w:r>
        <w:rPr>
          <w:rFonts w:ascii="Arial" w:cs="Arial" w:eastAsia="Arial" w:hAnsi="Arial"/>
          <w:b/>
          <w:bCs/>
          <w:color w:val="2E75B6"/>
          <w:sz w:val="28"/>
          <w:szCs w:val="28"/>
        </w:rPr>
        <w:t xml:space="preserve">2.6  Projections de Revenus Consolidées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 de revenu</w:t>
            </w:r>
          </w:p>
        </w:tc>
        <w:tc>
          <w:tcPr>
            <w:tcW w:type="dxa" w:w="17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M1</w:t>
            </w:r>
          </w:p>
        </w:tc>
        <w:tc>
          <w:tcPr>
            <w:tcW w:type="dxa" w:w="17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M3</w:t>
            </w:r>
          </w:p>
        </w:tc>
        <w:tc>
          <w:tcPr>
            <w:tcW w:type="dxa" w:w="17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M6</w:t>
            </w:r>
          </w:p>
        </w:tc>
        <w:tc>
          <w:tcPr>
            <w:tcW w:type="dxa" w:w="17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M12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Kits RGPD/NIS2 (Gumroad)</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0 €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200 €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800 €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2 000 €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Affiliation Axonaut</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0 €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196 €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980 €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3 920 €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Autres affiliations</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0 €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100 €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400 €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1 500 €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Newsletter premium</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0 €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0 €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0 €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900 €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FFFFFF"/>
                <w:sz w:val="20"/>
                <w:szCs w:val="20"/>
              </w:rPr>
              <w:t xml:space="preserve">TOTAL MENSUEL</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FFFFFF"/>
                <w:sz w:val="20"/>
                <w:szCs w:val="20"/>
              </w:rPr>
              <w:t xml:space="preserve">0 €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FFFFFF"/>
                <w:sz w:val="20"/>
                <w:szCs w:val="20"/>
              </w:rPr>
              <w:t xml:space="preserve">496 €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FFFFFF"/>
                <w:sz w:val="20"/>
                <w:szCs w:val="20"/>
              </w:rPr>
              <w:t xml:space="preserve">2 180 €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FFFFFF"/>
                <w:sz w:val="20"/>
                <w:szCs w:val="20"/>
              </w:rPr>
              <w:t xml:space="preserve">8 320 €</w:t>
            </w:r>
          </w:p>
        </w:tc>
      </w:tr>
    </w:tbl>
    <w:p>
      <w:pPr>
        <w:spacing w:after="80"/>
      </w:pPr>
      <w:r>
        <w:t xml:space="preserve"/>
      </w:r>
    </w:p>
    <w:p>
      <w:pPr>
        <w:pBdr>
          <w:left w:val="single" w:color="C00000" w:sz="12" w:space="8"/>
        </w:pBdr>
        <w:spacing w:after="120" w:before="120"/>
      </w:pPr>
      <w:r>
        <w:rPr>
          <w:rFonts w:ascii="Arial" w:cs="Arial" w:eastAsia="Arial" w:hAnsi="Arial"/>
          <w:b/>
          <w:bCs/>
          <w:color w:val="C00000"/>
          <w:sz w:val="22"/>
          <w:szCs w:val="22"/>
        </w:rPr>
        <w:t xml:space="preserve">⚠️  Ces projections supposent une exécution régulière : 2 articles SEO/semaine, 1 newsletter/semaine, Kit RGPD disponible dès M1. Sans le kit et sans affiliation Axonaut activée, M3 = 0 €.</w:t>
      </w:r>
    </w:p>
    <w:p>
      <w:pPr>
        <w:pStyle w:val="Heading1"/>
        <w:pageBreakBefore/>
      </w:pPr>
      <w:r>
        <w:rPr>
          <w:rFonts w:ascii="Arial" w:cs="Arial" w:eastAsia="Arial" w:hAnsi="Arial"/>
          <w:b/>
          <w:bCs/>
          <w:color w:val="1F4E79"/>
          <w:sz w:val="36"/>
          <w:szCs w:val="36"/>
        </w:rPr>
        <w:t xml:space="preserve">📋  CHAPEAU CHEF DE PROJET — Feuille de Route</w:t>
      </w:r>
    </w:p>
    <w:p>
      <w:pPr>
        <w:spacing w:after="120"/>
      </w:pPr>
      <w:r>
        <w:rPr>
          <w:rFonts w:ascii="Arial" w:cs="Arial" w:eastAsia="Arial" w:hAnsi="Arial"/>
          <w:color w:val="404040"/>
          <w:sz w:val="22"/>
          <w:szCs w:val="22"/>
        </w:rPr>
        <w:t xml:space="preserve">Ce qui suit est l'ordre strict d'exécution. Rien ne sera fait dans le désordre. Chaque étape est un prérequis de la suivante.</w:t>
      </w:r>
    </w:p>
    <w:p>
      <w:pPr>
        <w:spacing w:after="80"/>
      </w:pPr>
      <w:r>
        <w:t xml:space="preserve"/>
      </w:r>
    </w:p>
    <w:p>
      <w:pPr>
        <w:pStyle w:val="Heading2"/>
      </w:pPr>
      <w:r>
        <w:rPr>
          <w:rFonts w:ascii="Arial" w:cs="Arial" w:eastAsia="Arial" w:hAnsi="Arial"/>
          <w:b/>
          <w:bCs/>
          <w:color w:val="2E75B6"/>
          <w:sz w:val="28"/>
          <w:szCs w:val="28"/>
        </w:rPr>
        <w:t xml:space="preserve">3.1  Ce qui Existe Réellement Aujourd'hui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360"/>
        <w:gridCol w:w="1800"/>
      </w:tblGrid>
      <w:tr>
        <w:trPr>
          <w:tblHeader/>
        </w:trP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Élément</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État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 requise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Domaine nexusconformite.fr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 Acheté aujourd'hui — OVH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Aucune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9 workflows N8N (automatisation)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 Créés — plomberie fonctionnelle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Recadrer sur nouvelle vision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Landing page HTML (2026 UX/UI)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 Créée — belle mais mal positionnée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Refaire le copy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Kit RGPD (produit)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 N'existe pas — coquille vide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CRÉER — priorité 1</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Kit NIS2 (produit)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 N'existe pas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CRÉER — priorité 2</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Compte Gumroad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 Non créé</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Créer + uploader kit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Affiliation Axonaut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 Non inscrit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Postuler dès cette semaine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Newsletter Beehiiv</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 Non créée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Créer + 3 premiers numéros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Documents légaux CGV/CGU</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 Templates vides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Remplir et publier</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VPS OVH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 Page de commande ouverte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Commander après les produits</w:t>
            </w:r>
          </w:p>
        </w:tc>
      </w:tr>
    </w:tbl>
    <w:p>
      <w:pPr>
        <w:spacing w:after="80"/>
      </w:pPr>
      <w:r>
        <w:t xml:space="preserve"/>
      </w:r>
    </w:p>
    <w:p>
      <w:pPr>
        <w:pStyle w:val="Heading2"/>
      </w:pPr>
      <w:r>
        <w:rPr>
          <w:rFonts w:ascii="Arial" w:cs="Arial" w:eastAsia="Arial" w:hAnsi="Arial"/>
          <w:b/>
          <w:bCs/>
          <w:color w:val="2E75B6"/>
          <w:sz w:val="28"/>
          <w:szCs w:val="28"/>
        </w:rPr>
        <w:t xml:space="preserve">3.2  Plan d'Exécution Semaine par Semaine</w:t>
      </w:r>
    </w:p>
    <w:p>
      <w:pPr>
        <w:pStyle w:val="Heading3"/>
      </w:pPr>
      <w:r>
        <w:rPr>
          <w:rFonts w:ascii="Arial" w:cs="Arial" w:eastAsia="Arial" w:hAnsi="Arial"/>
          <w:b/>
          <w:bCs/>
          <w:color w:val="404040"/>
          <w:sz w:val="24"/>
          <w:szCs w:val="24"/>
        </w:rPr>
        <w:t xml:space="preserve">SEMAINE 1 — Le Produit d'Abord</w:t>
      </w:r>
    </w:p>
    <w:p>
      <w:pPr>
        <w:pBdr>
          <w:left w:val="single" w:color="375623" w:sz="12" w:space="8"/>
        </w:pBdr>
        <w:spacing w:after="80" w:before="80"/>
      </w:pPr>
      <w:r>
        <w:rPr>
          <w:rFonts w:ascii="Arial" w:cs="Arial" w:eastAsia="Arial" w:hAnsi="Arial"/>
          <w:color w:val="375623"/>
          <w:sz w:val="22"/>
          <w:szCs w:val="22"/>
        </w:rPr>
        <w:t xml:space="preserve">✅  Créer le Kit RGPD complet (6 documents + guide) — c'est la priorité absolue</w:t>
      </w:r>
    </w:p>
    <w:p>
      <w:pPr>
        <w:pBdr>
          <w:left w:val="single" w:color="375623" w:sz="12" w:space="8"/>
        </w:pBdr>
        <w:spacing w:after="80" w:before="80"/>
      </w:pPr>
      <w:r>
        <w:rPr>
          <w:rFonts w:ascii="Arial" w:cs="Arial" w:eastAsia="Arial" w:hAnsi="Arial"/>
          <w:color w:val="375623"/>
          <w:sz w:val="22"/>
          <w:szCs w:val="22"/>
        </w:rPr>
        <w:t xml:space="preserve">✅  Créer les CGV, CGU, Politique de confidentialité, Mentions légales</w:t>
      </w:r>
    </w:p>
    <w:p>
      <w:pPr>
        <w:pBdr>
          <w:left w:val="single" w:color="375623" w:sz="12" w:space="8"/>
        </w:pBdr>
        <w:spacing w:after="80" w:before="80"/>
      </w:pPr>
      <w:r>
        <w:rPr>
          <w:rFonts w:ascii="Arial" w:cs="Arial" w:eastAsia="Arial" w:hAnsi="Arial"/>
          <w:color w:val="375623"/>
          <w:sz w:val="22"/>
          <w:szCs w:val="22"/>
        </w:rPr>
        <w:t xml:space="preserve">✅  Créer le compte Gumroad et mettre le Kit RGPD en vente à 47 €</w:t>
      </w:r>
    </w:p>
    <w:p>
      <w:pPr>
        <w:pBdr>
          <w:left w:val="single" w:color="375623" w:sz="12" w:space="8"/>
        </w:pBdr>
        <w:spacing w:after="80" w:before="80"/>
      </w:pPr>
      <w:r>
        <w:rPr>
          <w:rFonts w:ascii="Arial" w:cs="Arial" w:eastAsia="Arial" w:hAnsi="Arial"/>
          <w:color w:val="375623"/>
          <w:sz w:val="22"/>
          <w:szCs w:val="22"/>
        </w:rPr>
        <w:t xml:space="preserve">✅  Postuler au programme partenaire Axonaut (axonaut.com/partenaires)</w:t>
      </w:r>
    </w:p>
    <w:p>
      <w:pPr>
        <w:pBdr>
          <w:left w:val="single" w:color="C00000" w:sz="12" w:space="8"/>
        </w:pBdr>
        <w:spacing w:after="120" w:before="120"/>
      </w:pPr>
      <w:r>
        <w:rPr>
          <w:rFonts w:ascii="Arial" w:cs="Arial" w:eastAsia="Arial" w:hAnsi="Arial"/>
          <w:b/>
          <w:bCs/>
          <w:color w:val="C00000"/>
          <w:sz w:val="22"/>
          <w:szCs w:val="22"/>
        </w:rPr>
        <w:t xml:space="preserve">⚠️  Aucun VPS, aucun déploiement tant que le produit n'est pas prêt à être vendu.</w:t>
      </w:r>
    </w:p>
    <w:p>
      <w:pPr>
        <w:pStyle w:val="Heading3"/>
      </w:pPr>
      <w:r>
        <w:rPr>
          <w:rFonts w:ascii="Arial" w:cs="Arial" w:eastAsia="Arial" w:hAnsi="Arial"/>
          <w:b/>
          <w:bCs/>
          <w:color w:val="404040"/>
          <w:sz w:val="24"/>
          <w:szCs w:val="24"/>
        </w:rPr>
        <w:t xml:space="preserve">SEMAINE 2 — Les Premiers Flux de Revenus</w:t>
      </w:r>
    </w:p>
    <w:p>
      <w:pPr>
        <w:pBdr>
          <w:left w:val="single" w:color="375623" w:sz="12" w:space="8"/>
        </w:pBdr>
        <w:spacing w:after="80" w:before="80"/>
      </w:pPr>
      <w:r>
        <w:rPr>
          <w:rFonts w:ascii="Arial" w:cs="Arial" w:eastAsia="Arial" w:hAnsi="Arial"/>
          <w:color w:val="375623"/>
          <w:sz w:val="22"/>
          <w:szCs w:val="22"/>
        </w:rPr>
        <w:t xml:space="preserve">✅  Mettre les liens affiliés Axonaut sur la landing page et dans le Kit RGPD</w:t>
      </w:r>
    </w:p>
    <w:p>
      <w:pPr>
        <w:pBdr>
          <w:left w:val="single" w:color="375623" w:sz="12" w:space="8"/>
        </w:pBdr>
        <w:spacing w:after="80" w:before="80"/>
      </w:pPr>
      <w:r>
        <w:rPr>
          <w:rFonts w:ascii="Arial" w:cs="Arial" w:eastAsia="Arial" w:hAnsi="Arial"/>
          <w:color w:val="375623"/>
          <w:sz w:val="22"/>
          <w:szCs w:val="22"/>
        </w:rPr>
        <w:t xml:space="preserve">✅  Créer la page comparateur 'Facturation électronique 2026' (1ère page SEO)</w:t>
      </w:r>
    </w:p>
    <w:p>
      <w:pPr>
        <w:pBdr>
          <w:left w:val="single" w:color="375623" w:sz="12" w:space="8"/>
        </w:pBdr>
        <w:spacing w:after="80" w:before="80"/>
      </w:pPr>
      <w:r>
        <w:rPr>
          <w:rFonts w:ascii="Arial" w:cs="Arial" w:eastAsia="Arial" w:hAnsi="Arial"/>
          <w:color w:val="375623"/>
          <w:sz w:val="22"/>
          <w:szCs w:val="22"/>
        </w:rPr>
        <w:t xml:space="preserve">✅  Configurer Gumroad webhook → WF-07 (livraison automatique du kit)</w:t>
      </w:r>
    </w:p>
    <w:p>
      <w:pPr>
        <w:pBdr>
          <w:left w:val="single" w:color="375623" w:sz="12" w:space="8"/>
        </w:pBdr>
        <w:spacing w:after="80" w:before="80"/>
      </w:pPr>
      <w:r>
        <w:rPr>
          <w:rFonts w:ascii="Arial" w:cs="Arial" w:eastAsia="Arial" w:hAnsi="Arial"/>
          <w:color w:val="375623"/>
          <w:sz w:val="22"/>
          <w:szCs w:val="22"/>
        </w:rPr>
        <w:t xml:space="preserve">✅  Créer le compte Beehiiv — rédiger les 2 premiers numéros de newsletter</w:t>
      </w:r>
    </w:p>
    <w:p>
      <w:pPr>
        <w:pStyle w:val="Heading3"/>
      </w:pPr>
      <w:r>
        <w:rPr>
          <w:rFonts w:ascii="Arial" w:cs="Arial" w:eastAsia="Arial" w:hAnsi="Arial"/>
          <w:b/>
          <w:bCs/>
          <w:color w:val="404040"/>
          <w:sz w:val="24"/>
          <w:szCs w:val="24"/>
        </w:rPr>
        <w:t xml:space="preserve">SEMAINE 3 — La Vitrine</w:t>
      </w:r>
    </w:p>
    <w:p>
      <w:pPr>
        <w:pBdr>
          <w:left w:val="single" w:color="375623" w:sz="12" w:space="8"/>
        </w:pBdr>
        <w:spacing w:after="80" w:before="80"/>
      </w:pPr>
      <w:r>
        <w:rPr>
          <w:rFonts w:ascii="Arial" w:cs="Arial" w:eastAsia="Arial" w:hAnsi="Arial"/>
          <w:color w:val="375623"/>
          <w:sz w:val="22"/>
          <w:szCs w:val="22"/>
        </w:rPr>
        <w:t xml:space="preserve">✅  Refaire le copy de la landing page — axée sur les 4 piliers validés</w:t>
      </w:r>
    </w:p>
    <w:p>
      <w:pPr>
        <w:pBdr>
          <w:left w:val="single" w:color="375623" w:sz="12" w:space="8"/>
        </w:pBdr>
        <w:spacing w:after="80" w:before="80"/>
      </w:pPr>
      <w:r>
        <w:rPr>
          <w:rFonts w:ascii="Arial" w:cs="Arial" w:eastAsia="Arial" w:hAnsi="Arial"/>
          <w:color w:val="375623"/>
          <w:sz w:val="22"/>
          <w:szCs w:val="22"/>
        </w:rPr>
        <w:t xml:space="preserve">✅  Commander le VPS OVH et déployer N8N en production</w:t>
      </w:r>
    </w:p>
    <w:p>
      <w:pPr>
        <w:pBdr>
          <w:left w:val="single" w:color="375623" w:sz="12" w:space="8"/>
        </w:pBdr>
        <w:spacing w:after="80" w:before="80"/>
      </w:pPr>
      <w:r>
        <w:rPr>
          <w:rFonts w:ascii="Arial" w:cs="Arial" w:eastAsia="Arial" w:hAnsi="Arial"/>
          <w:color w:val="375623"/>
          <w:sz w:val="22"/>
          <w:szCs w:val="22"/>
        </w:rPr>
        <w:t xml:space="preserve">✅  Connecter nexusconformite.fr → VPS (DNS OVH)</w:t>
      </w:r>
    </w:p>
    <w:p>
      <w:pPr>
        <w:pBdr>
          <w:left w:val="single" w:color="375623" w:sz="12" w:space="8"/>
        </w:pBdr>
        <w:spacing w:after="80" w:before="80"/>
      </w:pPr>
      <w:r>
        <w:rPr>
          <w:rFonts w:ascii="Arial" w:cs="Arial" w:eastAsia="Arial" w:hAnsi="Arial"/>
          <w:color w:val="375623"/>
          <w:sz w:val="22"/>
          <w:szCs w:val="22"/>
        </w:rPr>
        <w:t xml:space="preserve">✅  Tester tous les workflows en production avec les vrais webhooks</w:t>
      </w:r>
    </w:p>
    <w:p>
      <w:pPr>
        <w:pStyle w:val="Heading3"/>
      </w:pPr>
      <w:r>
        <w:rPr>
          <w:rFonts w:ascii="Arial" w:cs="Arial" w:eastAsia="Arial" w:hAnsi="Arial"/>
          <w:b/>
          <w:bCs/>
          <w:color w:val="404040"/>
          <w:sz w:val="24"/>
          <w:szCs w:val="24"/>
        </w:rPr>
        <w:t xml:space="preserve">SEMAINE 4 — Le SEO et la Croissance</w:t>
      </w:r>
    </w:p>
    <w:p>
      <w:pPr>
        <w:pBdr>
          <w:left w:val="single" w:color="375623" w:sz="12" w:space="8"/>
        </w:pBdr>
        <w:spacing w:after="80" w:before="80"/>
      </w:pPr>
      <w:r>
        <w:rPr>
          <w:rFonts w:ascii="Arial" w:cs="Arial" w:eastAsia="Arial" w:hAnsi="Arial"/>
          <w:color w:val="375623"/>
          <w:sz w:val="22"/>
          <w:szCs w:val="22"/>
        </w:rPr>
        <w:t xml:space="preserve">✅  Publier 2 articles de blog optimisés SEO (facturation électronique 2026, RGPD PME)</w:t>
      </w:r>
    </w:p>
    <w:p>
      <w:pPr>
        <w:pBdr>
          <w:left w:val="single" w:color="375623" w:sz="12" w:space="8"/>
        </w:pBdr>
        <w:spacing w:after="80" w:before="80"/>
      </w:pPr>
      <w:r>
        <w:rPr>
          <w:rFonts w:ascii="Arial" w:cs="Arial" w:eastAsia="Arial" w:hAnsi="Arial"/>
          <w:color w:val="375623"/>
          <w:sz w:val="22"/>
          <w:szCs w:val="22"/>
        </w:rPr>
        <w:t xml:space="preserve">✅  Configurer le workflow N8N de veille législative en production</w:t>
      </w:r>
    </w:p>
    <w:p>
      <w:pPr>
        <w:pBdr>
          <w:left w:val="single" w:color="375623" w:sz="12" w:space="8"/>
        </w:pBdr>
        <w:spacing w:after="80" w:before="80"/>
      </w:pPr>
      <w:r>
        <w:rPr>
          <w:rFonts w:ascii="Arial" w:cs="Arial" w:eastAsia="Arial" w:hAnsi="Arial"/>
          <w:color w:val="375623"/>
          <w:sz w:val="22"/>
          <w:szCs w:val="22"/>
        </w:rPr>
        <w:t xml:space="preserve">✅  Envoyer le premier numéro de newsletter — objectif 50 inscrits</w:t>
      </w:r>
    </w:p>
    <w:p>
      <w:pPr>
        <w:pBdr>
          <w:left w:val="single" w:color="375623" w:sz="12" w:space="8"/>
        </w:pBdr>
        <w:spacing w:after="80" w:before="80"/>
      </w:pPr>
      <w:r>
        <w:rPr>
          <w:rFonts w:ascii="Arial" w:cs="Arial" w:eastAsia="Arial" w:hAnsi="Arial"/>
          <w:color w:val="375623"/>
          <w:sz w:val="22"/>
          <w:szCs w:val="22"/>
        </w:rPr>
        <w:t xml:space="preserve">✅  Créer le Kit NIS2 (version simplifiée)</w:t>
      </w:r>
    </w:p>
    <w:p>
      <w:pPr>
        <w:spacing w:after="80"/>
      </w:pPr>
      <w:r>
        <w:t xml:space="preserve"/>
      </w:r>
    </w:p>
    <w:p>
      <w:pPr>
        <w:pStyle w:val="Heading2"/>
      </w:pPr>
      <w:r>
        <w:rPr>
          <w:rFonts w:ascii="Arial" w:cs="Arial" w:eastAsia="Arial" w:hAnsi="Arial"/>
          <w:b/>
          <w:bCs/>
          <w:color w:val="2E75B6"/>
          <w:sz w:val="28"/>
          <w:szCs w:val="28"/>
        </w:rPr>
        <w:t xml:space="preserve">3.3  Gestion des Clients et Support Automatisé</w:t>
      </w:r>
    </w:p>
    <w:p>
      <w:pPr>
        <w:spacing w:after="120"/>
      </w:pPr>
      <w:r>
        <w:rPr>
          <w:rFonts w:ascii="Arial" w:cs="Arial" w:eastAsia="Arial" w:hAnsi="Arial"/>
          <w:color w:val="404040"/>
          <w:sz w:val="22"/>
          <w:szCs w:val="22"/>
        </w:rPr>
        <w:t xml:space="preserve">Pour ne pas que le support client soit une charge, voici l'architecture de gestion :</w:t>
      </w:r>
    </w:p>
    <w:p>
      <w:pPr>
        <w:pStyle w:val="ListParagraph"/>
        <w:numPr>
          <w:ilvl w:val="0"/>
          <w:numId w:val="2"/>
        </w:numPr>
        <w:spacing w:after="80"/>
      </w:pPr>
      <w:r>
        <w:rPr>
          <w:rFonts w:ascii="Arial" w:cs="Arial" w:eastAsia="Arial" w:hAnsi="Arial"/>
          <w:color w:val="404040"/>
          <w:sz w:val="22"/>
          <w:szCs w:val="22"/>
        </w:rPr>
        <w:t xml:space="preserve">Achat kit Gumroad → email de livraison automatique WF-07 (en place)</w:t>
      </w:r>
    </w:p>
    <w:p>
      <w:pPr>
        <w:pStyle w:val="ListParagraph"/>
        <w:numPr>
          <w:ilvl w:val="0"/>
          <w:numId w:val="2"/>
        </w:numPr>
        <w:spacing w:after="80"/>
      </w:pPr>
      <w:r>
        <w:rPr>
          <w:rFonts w:ascii="Arial" w:cs="Arial" w:eastAsia="Arial" w:hAnsi="Arial"/>
          <w:color w:val="404040"/>
          <w:sz w:val="22"/>
          <w:szCs w:val="22"/>
        </w:rPr>
        <w:t xml:space="preserve">Question client → email vers contact@nexusconformite.fr → WF-10 (à créer) lit l'email, classe la demande, répond automatiquement aux FAQ, escalade à Dow si besoin</w:t>
      </w:r>
    </w:p>
    <w:p>
      <w:pPr>
        <w:pStyle w:val="ListParagraph"/>
        <w:numPr>
          <w:ilvl w:val="0"/>
          <w:numId w:val="2"/>
        </w:numPr>
        <w:spacing w:after="80"/>
      </w:pPr>
      <w:r>
        <w:rPr>
          <w:rFonts w:ascii="Arial" w:cs="Arial" w:eastAsia="Arial" w:hAnsi="Arial"/>
          <w:color w:val="404040"/>
          <w:sz w:val="22"/>
          <w:szCs w:val="22"/>
        </w:rPr>
        <w:t xml:space="preserve">Problème facturation → email automatique avec lien vers la facture Gumroad + SIRET</w:t>
      </w:r>
    </w:p>
    <w:p>
      <w:pPr>
        <w:pStyle w:val="ListParagraph"/>
        <w:numPr>
          <w:ilvl w:val="0"/>
          <w:numId w:val="2"/>
        </w:numPr>
        <w:spacing w:after="80"/>
      </w:pPr>
      <w:r>
        <w:rPr>
          <w:rFonts w:ascii="Arial" w:cs="Arial" w:eastAsia="Arial" w:hAnsi="Arial"/>
          <w:color w:val="404040"/>
          <w:sz w:val="22"/>
          <w:szCs w:val="22"/>
        </w:rPr>
        <w:t xml:space="preserve">Demande de remboursement → réponse automatique avec formulaire → décision humaine sous 48h</w:t>
      </w:r>
    </w:p>
    <w:p>
      <w:pPr>
        <w:spacing w:after="80"/>
      </w:pPr>
      <w:r>
        <w:t xml:space="preserve"/>
      </w:r>
    </w:p>
    <w:p>
      <w:pPr>
        <w:pBdr>
          <w:left w:val="single" w:color="2E75B6" w:sz="12" w:space="8"/>
        </w:pBdr>
        <w:spacing w:after="120" w:before="120"/>
      </w:pPr>
      <w:r>
        <w:rPr>
          <w:rFonts w:ascii="Arial" w:cs="Arial" w:eastAsia="Arial" w:hAnsi="Arial"/>
          <w:color w:val="2E75B6"/>
          <w:sz w:val="22"/>
          <w:szCs w:val="22"/>
        </w:rPr>
        <w:t xml:space="preserve">💡  Le workflow de support IA (WF-10) utilisera Claude Haiku pour lire et classifier les emails entrants, générer une réponse pour 80 % des cas, et alerter Dow via Telegram pour les 20 % restants.</w:t>
      </w:r>
    </w:p>
    <w:p>
      <w:pPr>
        <w:spacing w:after="80"/>
      </w:pPr>
      <w:r>
        <w:t xml:space="preserve"/>
      </w:r>
    </w:p>
    <w:p>
      <w:pPr>
        <w:pStyle w:val="Heading2"/>
      </w:pPr>
      <w:r>
        <w:rPr>
          <w:rFonts w:ascii="Arial" w:cs="Arial" w:eastAsia="Arial" w:hAnsi="Arial"/>
          <w:b/>
          <w:bCs/>
          <w:color w:val="2E75B6"/>
          <w:sz w:val="28"/>
          <w:szCs w:val="28"/>
        </w:rPr>
        <w:t xml:space="preserve">3.4  KPIs de Suivi Mensuel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Indicateur</w:t>
            </w:r>
          </w:p>
        </w:tc>
        <w:tc>
          <w:tcPr>
            <w:tcW w:type="dxa" w:w="2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M1 cible</w:t>
            </w:r>
          </w:p>
        </w:tc>
        <w:tc>
          <w:tcPr>
            <w:tcW w:type="dxa" w:w="2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M3 cible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M6 cible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Ventes Kit RGPD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20/mois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Clients affiliés Axonaut actifs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50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Abonnés newsletter</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500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Visiteurs organiques/mois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500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3 000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Revenu mensuel total</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0 €</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496 €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2 180 €</w:t>
            </w:r>
          </w:p>
        </w:tc>
      </w:tr>
    </w:tbl>
    <w:p>
      <w:pPr>
        <w:spacing w:after="80"/>
      </w:pPr>
      <w:r>
        <w:t xml:space="preserve"/>
      </w:r>
    </w:p>
    <w:p>
      <w:pPr>
        <w:pStyle w:val="Heading2"/>
      </w:pPr>
      <w:r>
        <w:rPr>
          <w:rFonts w:ascii="Arial" w:cs="Arial" w:eastAsia="Arial" w:hAnsi="Arial"/>
          <w:b/>
          <w:bCs/>
          <w:color w:val="2E75B6"/>
          <w:sz w:val="28"/>
          <w:szCs w:val="28"/>
        </w:rPr>
        <w:t xml:space="preserve">3.5  Ce qu'on NE Fait PAS</w:t>
      </w:r>
    </w:p>
    <w:p>
      <w:pPr>
        <w:pBdr>
          <w:left w:val="single" w:color="C00000" w:sz="12" w:space="8"/>
        </w:pBdr>
        <w:spacing w:after="120" w:before="120"/>
      </w:pPr>
      <w:r>
        <w:rPr>
          <w:rFonts w:ascii="Arial" w:cs="Arial" w:eastAsia="Arial" w:hAnsi="Arial"/>
          <w:b/>
          <w:bCs/>
          <w:color w:val="C00000"/>
          <w:sz w:val="22"/>
          <w:szCs w:val="22"/>
        </w:rPr>
        <w:t xml:space="preserve">⚠️  Pas d'annuaire de mise en relation avec des prestataires — trop de charge opérationnelle, litiges potentiels, responsabilité accrue. Ce modèle est abandonné.</w:t>
      </w:r>
    </w:p>
    <w:p>
      <w:pPr>
        <w:pBdr>
          <w:left w:val="single" w:color="C00000" w:sz="12" w:space="8"/>
        </w:pBdr>
        <w:spacing w:after="120" w:before="120"/>
      </w:pPr>
      <w:r>
        <w:rPr>
          <w:rFonts w:ascii="Arial" w:cs="Arial" w:eastAsia="Arial" w:hAnsi="Arial"/>
          <w:b/>
          <w:bCs/>
          <w:color w:val="C00000"/>
          <w:sz w:val="22"/>
          <w:szCs w:val="22"/>
        </w:rPr>
        <w:t xml:space="preserve">⚠️  Pas de conseil personnalisé — NEXUS CONFORMITÉ n'est jamais un cabinet juridique ou comptable. Toujours orienter vers un professionnel qualifié.</w:t>
      </w:r>
    </w:p>
    <w:p>
      <w:pPr>
        <w:pBdr>
          <w:left w:val="single" w:color="C00000" w:sz="12" w:space="8"/>
        </w:pBdr>
        <w:spacing w:after="120" w:before="120"/>
      </w:pPr>
      <w:r>
        <w:rPr>
          <w:rFonts w:ascii="Arial" w:cs="Arial" w:eastAsia="Arial" w:hAnsi="Arial"/>
          <w:b/>
          <w:bCs/>
          <w:color w:val="C00000"/>
          <w:sz w:val="22"/>
          <w:szCs w:val="22"/>
        </w:rPr>
        <w:t xml:space="preserve">⚠️  Pas de VPS avant que le Kit RGPD ne soit créé et mis en vente — l'infrastructure au service du produit, jamais l'inverse.</w:t>
      </w:r>
    </w:p>
    <w:p>
      <w:pPr>
        <w:pStyle w:val="Heading1"/>
        <w:pageBreakBefore/>
      </w:pPr>
      <w:r>
        <w:rPr>
          <w:rFonts w:ascii="Arial" w:cs="Arial" w:eastAsia="Arial" w:hAnsi="Arial"/>
          <w:b/>
          <w:bCs/>
          <w:color w:val="1F4E79"/>
          <w:sz w:val="36"/>
          <w:szCs w:val="36"/>
        </w:rPr>
        <w:t xml:space="preserve">🚀  ACTIONS IMMÉDIATES — Cette Semaine</w:t>
      </w:r>
    </w:p>
    <w:p>
      <w:pPr>
        <w:spacing w:after="120"/>
      </w:pPr>
      <w:r>
        <w:rPr>
          <w:rFonts w:ascii="Arial" w:cs="Arial" w:eastAsia="Arial" w:hAnsi="Arial"/>
          <w:color w:val="404040"/>
          <w:sz w:val="22"/>
          <w:szCs w:val="22"/>
        </w:rPr>
        <w:t xml:space="preserve">Ce tableau est le seul document de référence pour l'exécution. Chaque ligne doit être cochée dans l'ordre.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2760"/>
        <w:gridCol w:w="180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Responsable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Délai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Créer le Kit RGPD complet (6 documents)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Claude + validation Dow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J+1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Rédiger les CGV et politique de confidentialité</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Claude + validation Dow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J+1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Créer le compte Gumroad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J+2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Mettre le Kit RGPD en vente sur Gumroad à 47 €</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Dow + Claude guide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J+2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Postuler programme partenaire Axonaut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J+2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Refaire le copy de la landing page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Claude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J+3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7</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Créer le compte Beehiiv + 1er numéro newsletter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Claude + Dow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J+4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8</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Commander le VPS OVH (après kit prêt)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J+5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9</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Déployer N8N en production sur VPS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Claude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J+6</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10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Publier le 1er article SEO (facturation électronique)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Claude + Dow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J+7</w:t>
            </w:r>
          </w:p>
        </w:tc>
      </w:tr>
    </w:tbl>
    <w:p>
      <w:pPr>
        <w:spacing w:after="80"/>
      </w:pPr>
      <w:r>
        <w:t xml:space="preserve"/>
      </w:r>
    </w:p>
    <w:p>
      <w:pPr>
        <w:pBdr>
          <w:bottom w:val="single" w:color="2E75B6" w:sz="4"/>
        </w:pBdr>
        <w:spacing w:before="400"/>
        <w:jc w:val="center"/>
      </w:pPr>
      <w:r>
        <w:rPr>
          <w:rFonts w:ascii="Arial" w:cs="Arial" w:eastAsia="Arial" w:hAnsi="Arial"/>
          <w:i/>
          <w:iCs/>
          <w:color w:val="404040"/>
          <w:sz w:val="20"/>
          <w:szCs w:val="20"/>
        </w:rPr>
        <w:t xml:space="preserve">Ce document fait foi. Toute modification doit être validée par les deux parties.</w:t>
      </w:r>
    </w:p>
    <w:p>
      <w:pPr>
        <w:spacing w:after="120" w:before="120"/>
        <w:jc w:val="center"/>
      </w:pPr>
      <w:r>
        <w:rPr>
          <w:rFonts w:ascii="Arial" w:cs="Arial" w:eastAsia="Arial" w:hAnsi="Arial"/>
          <w:color w:val="1F4E79"/>
          <w:sz w:val="22"/>
          <w:szCs w:val="22"/>
        </w:rPr>
        <w:t xml:space="preserve">Dow Poncelet — NEXUS CONFORMITÉ — Mars 2026</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404040"/>
        <w:sz w:val="18"/>
        <w:szCs w:val="18"/>
      </w:rPr>
      <w:t xml:space="preserve">Page </w:t>
    </w:r>
    <w:r>
      <w:rPr>
        <w:rFonts w:ascii="Arial" w:cs="Arial" w:eastAsia="Arial" w:hAnsi="Arial"/>
        <w:color w:val="404040"/>
        <w:sz w:val="18"/>
        <w:szCs w:val="18"/>
      </w:rPr>
      <w:fldChar w:fldCharType="begin"/>
      <w:instrText xml:space="preserve">PAGE</w:instrText>
      <w:fldChar w:fldCharType="separate"/>
      <w:fldChar w:fldCharType="end"/>
    </w:r>
    <w:r>
      <w:rPr>
        <w:rFonts w:ascii="Arial" w:cs="Arial" w:eastAsia="Arial" w:hAnsi="Arial"/>
        <w:color w:val="404040"/>
        <w:sz w:val="18"/>
        <w:szCs w:val="18"/>
      </w:rPr>
      <w:t xml:space="preserve"> / </w:t>
    </w:r>
    <w:r>
      <w:rPr>
        <w:rFonts w:ascii="Arial" w:cs="Arial" w:eastAsia="Arial" w:hAnsi="Arial"/>
        <w:color w:val="40404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color w:val="2E75B6"/>
        <w:sz w:val="18"/>
        <w:szCs w:val="18"/>
      </w:rPr>
      <w:t xml:space="preserve">NEXUS CONFORMITÉ — Document Fondation</w:t>
    </w:r>
    <w:r>
      <w:rPr>
        <w:rFonts w:ascii="Arial" w:cs="Arial" w:eastAsia="Arial" w:hAnsi="Arial"/>
        <w:i/>
        <w:iCs/>
        <w:color w:val="404040"/>
        <w:sz w:val="18"/>
        <w:szCs w:val="18"/>
      </w:rPr>
      <w:t xml:space="preserve">    Confidentiel — Mars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 w:type="paragraph" w:styleId="Heading2">
    <w:name w:val="Heading 2"/>
    <w:basedOn w:val="Normal"/>
    <w:next w:val="Normal"/>
    <w:qFormat/>
    <w:pPr>
      <w:spacing w:after="120" w:before="240"/>
      <w:outlineLvl w:val="1"/>
    </w:pPr>
    <w:rPr>
      <w:rFonts w:ascii="Arial" w:cs="Arial" w:eastAsia="Arial" w:hAnsi="Arial"/>
      <w:b/>
      <w:bCs/>
      <w:sz w:val="28"/>
      <w:szCs w:val="28"/>
    </w:rPr>
  </w:style>
  <w:style w:type="paragraph" w:styleId="Heading3">
    <w:name w:val="Heading 3"/>
    <w:basedOn w:val="Normal"/>
    <w:next w:val="Normal"/>
    <w:qFormat/>
    <w:pPr>
      <w:spacing w:after="8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2026-03-31T10:19:36.196Z</dcterms:created>
  <dcterms:modified xsi:type="dcterms:W3CDTF">2026-03-31T10:19:36.197Z</dcterms:modified>
</cp:coreProperties>
</file>

<file path=docProps/custom.xml><?xml version="1.0" encoding="utf-8"?>
<Properties xmlns="http://schemas.openxmlformats.org/officeDocument/2006/custom-properties" xmlns:vt="http://schemas.openxmlformats.org/officeDocument/2006/docPropsVTypes"/>
</file>