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jc w:val="center"/>
      </w:pPr>
      <w:r>
        <w:rPr>
          <w:rFonts w:ascii="Arial Black" w:cs="Arial Black" w:eastAsia="Arial Black" w:hAnsi="Arial Black"/>
          <w:b/>
          <w:bCs/>
          <w:color w:val="1A3A5C"/>
          <w:sz w:val="96"/>
          <w:szCs w:val="96"/>
        </w:rPr>
        <w:t xml:space="preserve">NEXUS</w:t>
      </w:r>
    </w:p>
    <w:p>
      <w:pPr>
        <w:spacing w:after="0"/>
        <w:jc w:val="center"/>
      </w:pPr>
      <w:r>
        <w:rPr>
          <w:rFonts w:ascii="Arial Black" w:cs="Arial Black" w:eastAsia="Arial Black" w:hAnsi="Arial Black"/>
          <w:b/>
          <w:bCs/>
          <w:color w:val="059669"/>
          <w:sz w:val="96"/>
          <w:szCs w:val="96"/>
        </w:rPr>
        <w:t xml:space="preserve">CONFORMITÉ</w:t>
      </w:r>
    </w:p>
    <w:p>
      <w:pPr>
        <w:spacing w:after="100"/>
      </w:pPr>
      <w:r>
        <w:t xml:space="preserve"/>
      </w:r>
    </w:p>
    <w:p>
      <w:pPr>
        <w:spacing w:after="400"/>
        <w:jc w:val="center"/>
      </w:pPr>
      <w:r>
        <w:rPr>
          <w:rFonts w:ascii="Arial" w:cs="Arial" w:eastAsia="Arial" w:hAnsi="Arial"/>
          <w:i/>
          <w:iCs/>
          <w:color w:val="64748B"/>
          <w:sz w:val="28"/>
          <w:szCs w:val="28"/>
        </w:rPr>
        <w:t xml:space="preserve">Hub Intermédiaire Réglementaire · TPE/PME France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Porteur</w:t>
            </w:r>
          </w:p>
        </w:tc>
        <w:tc>
          <w:tcPr>
            <w:tcW w:type="dxa" w:w="5826"/>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Dow Poncelet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Session</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 — Lancement &amp; Architecture Complète</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Date</w:t>
            </w:r>
          </w:p>
        </w:tc>
        <w:tc>
          <w:tcPr>
            <w:tcW w:type="dxa" w:w="58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27 Mars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Objectif 12 mois</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8 000 – 15 000 € / mois passifs</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Fenêtre critique</w:t>
            </w:r>
          </w:p>
        </w:tc>
        <w:tc>
          <w:tcPr>
            <w:tcW w:type="dxa" w:w="58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Maintenant → Septembre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Statut</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 PROJECT.md créé — Prêt à démarrer</w:t>
            </w:r>
          </w:p>
        </w:tc>
      </w:tr>
    </w:tbl>
    <w:p>
      <w:r>
        <w:br w:type="page"/>
      </w:r>
    </w:p>
    <w:p>
      <w:pPr>
        <w:pStyle w:val="Heading1"/>
        <w:pBdr>
          <w:bottom w:val="single" w:color="059669" w:sz="8" w:space="4"/>
        </w:pBdr>
        <w:spacing w:after="200" w:before="400"/>
      </w:pPr>
      <w:r>
        <w:rPr>
          <w:rFonts w:ascii="Arial" w:cs="Arial" w:eastAsia="Arial" w:hAnsi="Arial"/>
          <w:b/>
          <w:bCs/>
          <w:color w:val="1A3A5C"/>
          <w:sz w:val="32"/>
          <w:szCs w:val="32"/>
        </w:rPr>
        <w:t xml:space="preserve">1. Résumé Exécutif</w:t>
      </w:r>
    </w:p>
    <w:p>
      <w:pPr>
        <w:spacing w:after="120"/>
        <w:jc w:val="left"/>
      </w:pPr>
      <w:r>
        <w:rPr>
          <w:rFonts w:ascii="Arial" w:cs="Arial" w:eastAsia="Arial" w:hAnsi="Arial"/>
          <w:b w:val="false"/>
          <w:bCs w:val="false"/>
          <w:i w:val="false"/>
          <w:iCs w:val="false"/>
          <w:color w:val="1E293B"/>
          <w:sz w:val="21"/>
          <w:szCs w:val="21"/>
        </w:rPr>
        <w:t xml:space="preserve">NEXUS CONFORMITÉ est un hub digital intermédiaire positionné sur la convergence de quatre obligations réglementaires majeures qui frappent simultanément 7 millions de TPE/PME françaises d'ici 2027 : la facturation électronique obligatoire (septembre 2026-2027), NIS2 (cybersécurité), le RGPD renforcé, et la réforme ANC 2025 du plan comptable.</w:t>
      </w:r>
    </w:p>
    <w:p>
      <w:pPr>
        <w:spacing w:after="120"/>
        <w:jc w:val="left"/>
      </w:pPr>
      <w:r>
        <w:rPr>
          <w:rFonts w:ascii="Arial" w:cs="Arial" w:eastAsia="Arial" w:hAnsi="Arial"/>
          <w:b w:val="false"/>
          <w:bCs w:val="false"/>
          <w:i w:val="false"/>
          <w:iCs w:val="false"/>
          <w:color w:val="1E293B"/>
          <w:sz w:val="21"/>
          <w:szCs w:val="21"/>
        </w:rPr>
        <w:t xml:space="preserve">Le modèle repose sur six angles de monétisation complémentaires — comparateur de plateformes agréées, newsletter de niche, annuaire de prestataires, webinaire evergreen automatisé, package numérique, et veille réglementaire freemium — générant des revenus passifs via affiliation récurrente, sponsoring, abonnements et ventes unitaires.</w:t>
      </w:r>
    </w:p>
    <w:p>
      <w:pPr>
        <w:spacing w:after="120"/>
        <w:jc w:val="left"/>
      </w:pPr>
      <w:r>
        <w:rPr>
          <w:rFonts w:ascii="Arial" w:cs="Arial" w:eastAsia="Arial" w:hAnsi="Arial"/>
          <w:b/>
          <w:bCs/>
          <w:i w:val="false"/>
          <w:iCs w:val="false"/>
          <w:color w:val="1E293B"/>
          <w:sz w:val="21"/>
          <w:szCs w:val="21"/>
        </w:rPr>
        <w:t xml:space="preserve">Zéro responsabilité de conseil : le porteur est intermédiaire informatif et de mise en relation, jamais conseiller juridique ou fiscal. Le disclaimer légal est systématique sur toutes les pages et communications.</w:t>
      </w:r>
    </w:p>
    <w:p>
      <w:pPr>
        <w:spacing w:after="120"/>
        <w:jc w:val="left"/>
      </w:pPr>
      <w:r>
        <w:rPr>
          <w:rFonts w:ascii="Arial" w:cs="Arial" w:eastAsia="Arial" w:hAnsi="Arial"/>
          <w:b w:val="false"/>
          <w:bCs w:val="false"/>
          <w:i w:val="false"/>
          <w:iCs w:val="false"/>
          <w:color w:val="059669"/>
          <w:sz w:val="21"/>
          <w:szCs w:val="21"/>
        </w:rPr>
        <w:t xml:space="preserve">Fenêtre de tir : 18 mois avant la deadline de septembre 2026. Le contenu SEO mis en ligne maintenant sera indexé au moment où la panique s'installe chez les dirigeants. C'est l'avantage décisif.</w:t>
      </w:r>
    </w:p>
    <w:p>
      <w:r>
        <w:br w:type="page"/>
      </w:r>
    </w:p>
    <w:p>
      <w:pPr>
        <w:pStyle w:val="Heading1"/>
        <w:pBdr>
          <w:bottom w:val="single" w:color="059669" w:sz="8" w:space="4"/>
        </w:pBdr>
        <w:spacing w:after="200" w:before="400"/>
      </w:pPr>
      <w:r>
        <w:rPr>
          <w:rFonts w:ascii="Arial" w:cs="Arial" w:eastAsia="Arial" w:hAnsi="Arial"/>
          <w:b/>
          <w:bCs/>
          <w:color w:val="1A3A5C"/>
          <w:sz w:val="32"/>
          <w:szCs w:val="32"/>
        </w:rPr>
        <w:t xml:space="preserve">2. Contexte &amp; Opportunité de Marché</w:t>
      </w:r>
    </w:p>
    <w:p>
      <w:pPr>
        <w:pStyle w:val="Heading2"/>
        <w:spacing w:after="140" w:before="280"/>
      </w:pPr>
      <w:r>
        <w:rPr>
          <w:rFonts w:ascii="Arial" w:cs="Arial" w:eastAsia="Arial" w:hAnsi="Arial"/>
          <w:b/>
          <w:bCs/>
          <w:color w:val="059669"/>
          <w:sz w:val="26"/>
          <w:szCs w:val="26"/>
        </w:rPr>
        <w:t xml:space="preserve">2.1 Les 4 obligations réglementaires simultanées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500"/>
        <w:gridCol w:w="1726"/>
      </w:tblGrid>
      <w:tr>
        <w:tc>
          <w:tcPr>
            <w:tcW w:type="dxa" w:w="3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Réglementation</w:t>
            </w:r>
          </w:p>
        </w:tc>
        <w:tc>
          <w:tcPr>
            <w:tcW w:type="dxa" w:w="18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Deadline</w:t>
            </w:r>
          </w:p>
        </w:tc>
        <w:tc>
          <w:tcPr>
            <w:tcW w:type="dxa" w:w="25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Entreprises concernées</w:t>
            </w:r>
          </w:p>
        </w:tc>
        <w:tc>
          <w:tcPr>
            <w:tcW w:type="dxa" w:w="1726"/>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Niveau d'urgence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Facturation électronique — réception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1er Sept. 2026</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Toutes assujetties TVA</w:t>
            </w:r>
          </w:p>
        </w:tc>
        <w:tc>
          <w:tcPr>
            <w:tcW w:type="dxa" w:w="1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 CRITIQUE</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Facturation électronique — émission</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1er Sept. 2027</w:t>
            </w:r>
          </w:p>
        </w:tc>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TPE/PME</w:t>
            </w:r>
          </w:p>
        </w:tc>
        <w:tc>
          <w:tcPr>
            <w:tcW w:type="dxa" w:w="17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 HAUTE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NIS2 — Cybersécurité</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Janv. 2025 (en cours)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~15 000 + sous-traitants</w:t>
            </w:r>
          </w:p>
        </w:tc>
        <w:tc>
          <w:tcPr>
            <w:tcW w:type="dxa" w:w="1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 HAUTE</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RGPD renforcé 2026</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En cours</w:t>
            </w:r>
          </w:p>
        </w:tc>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Toutes</w:t>
            </w:r>
          </w:p>
        </w:tc>
        <w:tc>
          <w:tcPr>
            <w:tcW w:type="dxa" w:w="17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 HAUTE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Réforme ANC 2025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Janv. 2025 (en cours)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Toutes</w:t>
            </w:r>
          </w:p>
        </w:tc>
        <w:tc>
          <w:tcPr>
            <w:tcW w:type="dxa" w:w="1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 MOYENNE</w:t>
            </w:r>
          </w:p>
        </w:tc>
      </w:tr>
    </w:tbl>
    <w:p>
      <w:pPr>
        <w:spacing w:after="100"/>
      </w:pPr>
      <w:r>
        <w:t xml:space="preserve"/>
      </w:r>
    </w:p>
    <w:p>
      <w:pPr>
        <w:pStyle w:val="Heading2"/>
        <w:spacing w:after="140" w:before="280"/>
      </w:pPr>
      <w:r>
        <w:rPr>
          <w:rFonts w:ascii="Arial" w:cs="Arial" w:eastAsia="Arial" w:hAnsi="Arial"/>
          <w:b/>
          <w:bCs/>
          <w:color w:val="059669"/>
          <w:sz w:val="26"/>
          <w:szCs w:val="26"/>
        </w:rPr>
        <w:t xml:space="preserve">2.2 Pourquoi le marché est libre</w:t>
      </w:r>
    </w:p>
    <w:p>
      <w:pPr>
        <w:pStyle w:val="ListParagraph"/>
        <w:numPr>
          <w:ilvl w:val="0"/>
          <w:numId w:val="2"/>
        </w:numPr>
        <w:spacing w:after="80"/>
      </w:pPr>
      <w:r>
        <w:rPr>
          <w:rFonts w:ascii="Arial" w:cs="Arial" w:eastAsia="Arial" w:hAnsi="Arial"/>
          <w:b w:val="false"/>
          <w:bCs w:val="false"/>
          <w:color w:val="1E293B"/>
          <w:sz w:val="21"/>
          <w:szCs w:val="21"/>
        </w:rPr>
        <w:t xml:space="preserve">Aucun acteur francophone ne couvre les 4 obligations en un seul endroit</w:t>
      </w:r>
    </w:p>
    <w:p>
      <w:pPr>
        <w:pStyle w:val="ListParagraph"/>
        <w:numPr>
          <w:ilvl w:val="0"/>
          <w:numId w:val="2"/>
        </w:numPr>
        <w:spacing w:after="80"/>
      </w:pPr>
      <w:r>
        <w:rPr>
          <w:rFonts w:ascii="Arial" w:cs="Arial" w:eastAsia="Arial" w:hAnsi="Arial"/>
          <w:b w:val="false"/>
          <w:bCs w:val="false"/>
          <w:color w:val="1E293B"/>
          <w:sz w:val="21"/>
          <w:szCs w:val="21"/>
        </w:rPr>
        <w:t xml:space="preserve">Les comparateurs PDP existants (2 au total) sont récents et non établis</w:t>
      </w:r>
    </w:p>
    <w:p>
      <w:pPr>
        <w:pStyle w:val="ListParagraph"/>
        <w:numPr>
          <w:ilvl w:val="0"/>
          <w:numId w:val="2"/>
        </w:numPr>
        <w:spacing w:after="80"/>
      </w:pPr>
      <w:r>
        <w:rPr>
          <w:rFonts w:ascii="Arial" w:cs="Arial" w:eastAsia="Arial" w:hAnsi="Arial"/>
          <w:b w:val="false"/>
          <w:bCs w:val="false"/>
          <w:color w:val="1E293B"/>
          <w:sz w:val="21"/>
          <w:szCs w:val="21"/>
        </w:rPr>
        <w:t xml:space="preserve">Aucun annuaire de prestataires conformité spécialisé n'existe</w:t>
      </w:r>
    </w:p>
    <w:p>
      <w:pPr>
        <w:pStyle w:val="ListParagraph"/>
        <w:numPr>
          <w:ilvl w:val="0"/>
          <w:numId w:val="2"/>
        </w:numPr>
        <w:spacing w:after="80"/>
      </w:pPr>
      <w:r>
        <w:rPr>
          <w:rFonts w:ascii="Arial" w:cs="Arial" w:eastAsia="Arial" w:hAnsi="Arial"/>
          <w:b w:val="false"/>
          <w:bCs w:val="false"/>
          <w:color w:val="1E293B"/>
          <w:sz w:val="21"/>
          <w:szCs w:val="21"/>
        </w:rPr>
        <w:t xml:space="preserve">72% des TPE/PME n'ont aucun salarié dédié à la cybersécurité</w:t>
      </w:r>
    </w:p>
    <w:p>
      <w:pPr>
        <w:pStyle w:val="ListParagraph"/>
        <w:numPr>
          <w:ilvl w:val="0"/>
          <w:numId w:val="2"/>
        </w:numPr>
        <w:spacing w:after="80"/>
      </w:pPr>
      <w:r>
        <w:rPr>
          <w:rFonts w:ascii="Arial" w:cs="Arial" w:eastAsia="Arial" w:hAnsi="Arial"/>
          <w:b w:val="false"/>
          <w:bCs w:val="false"/>
          <w:color w:val="1E293B"/>
          <w:sz w:val="21"/>
          <w:szCs w:val="21"/>
        </w:rPr>
        <w:t xml:space="preserve">7 millions d'entreprises concernées = marché adressable massif</w:t>
      </w:r>
    </w:p>
    <w:p>
      <w:pPr>
        <w:pStyle w:val="ListParagraph"/>
        <w:numPr>
          <w:ilvl w:val="0"/>
          <w:numId w:val="2"/>
        </w:numPr>
        <w:spacing w:after="80"/>
      </w:pPr>
      <w:r>
        <w:rPr>
          <w:rFonts w:ascii="Arial" w:cs="Arial" w:eastAsia="Arial" w:hAnsi="Arial"/>
          <w:b w:val="false"/>
          <w:bCs w:val="false"/>
          <w:color w:val="1E293B"/>
          <w:sz w:val="21"/>
          <w:szCs w:val="21"/>
        </w:rPr>
        <w:t xml:space="preserve">Axonaut propose 40% de commissions récurrentes — programme partenaire confirmé</w:t>
      </w:r>
    </w:p>
    <w:p>
      <w:r>
        <w:br w:type="page"/>
      </w:r>
    </w:p>
    <w:p>
      <w:pPr>
        <w:pStyle w:val="Heading1"/>
        <w:pBdr>
          <w:bottom w:val="single" w:color="059669" w:sz="8" w:space="4"/>
        </w:pBdr>
        <w:spacing w:after="200" w:before="400"/>
      </w:pPr>
      <w:r>
        <w:rPr>
          <w:rFonts w:ascii="Arial" w:cs="Arial" w:eastAsia="Arial" w:hAnsi="Arial"/>
          <w:b/>
          <w:bCs/>
          <w:color w:val="1A3A5C"/>
          <w:sz w:val="32"/>
          <w:szCs w:val="32"/>
        </w:rPr>
        <w:t xml:space="preserve">3. Architecture Business &amp; Stack Technique</w:t>
      </w:r>
    </w:p>
    <w:p>
      <w:pPr>
        <w:spacing w:after="120"/>
        <w:jc w:val="left"/>
      </w:pPr>
      <w:r>
        <w:rPr>
          <w:rFonts w:ascii="Arial" w:cs="Arial" w:eastAsia="Arial" w:hAnsi="Arial"/>
          <w:b w:val="false"/>
          <w:bCs w:val="false"/>
          <w:i w:val="false"/>
          <w:iCs w:val="false"/>
          <w:color w:val="1E293B"/>
          <w:sz w:val="21"/>
          <w:szCs w:val="21"/>
        </w:rPr>
        <w:t xml:space="preserve">N8N constitue l'orchestrateur central qui automatise l'ensemble des flux : génération de contenu, envoi newsletter, onboarding prestataires, livraison produits, surveillance réglementaire et reporting analytics.</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726"/>
        <w:gridCol w:w="1800"/>
      </w:tblGrid>
      <w:tr>
        <w:tc>
          <w:tcPr>
            <w:tcW w:type="dxa" w:w="25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Couche</w:t>
            </w:r>
          </w:p>
        </w:tc>
        <w:tc>
          <w:tcPr>
            <w:tcW w:type="dxa" w:w="2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Outil</w:t>
            </w:r>
          </w:p>
        </w:tc>
        <w:tc>
          <w:tcPr>
            <w:tcW w:type="dxa" w:w="2726"/>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Rôle</w:t>
            </w:r>
          </w:p>
        </w:tc>
        <w:tc>
          <w:tcPr>
            <w:tcW w:type="dxa" w:w="18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Coût/mois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Orchestration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N8N (VPS Hetzner)</w:t>
            </w:r>
          </w:p>
        </w:tc>
        <w:tc>
          <w:tcPr>
            <w:tcW w:type="dxa" w:w="2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Automatise tout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~5€</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Hub SEO</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WordPress + Rank Math</w:t>
            </w:r>
          </w:p>
        </w:tc>
        <w:tc>
          <w:tcPr>
            <w:tcW w:type="dxa" w:w="27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Trafic Google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~10€</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Newsletter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Beehiiv</w:t>
            </w:r>
          </w:p>
        </w:tc>
        <w:tc>
          <w:tcPr>
            <w:tcW w:type="dxa" w:w="2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Audience + sponsoring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0€</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Comparateur PDP</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Plugin WP</w:t>
            </w:r>
          </w:p>
        </w:tc>
        <w:tc>
          <w:tcPr>
            <w:tcW w:type="dxa" w:w="27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Affiliation + sponsoring PDP</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inclus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Annuaire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Directories Pro</w:t>
            </w:r>
          </w:p>
        </w:tc>
        <w:tc>
          <w:tcPr>
            <w:tcW w:type="dxa" w:w="2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Abonnements prestataires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~8€</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Webinaire</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Systeme.io</w:t>
            </w:r>
          </w:p>
        </w:tc>
        <w:tc>
          <w:tcPr>
            <w:tcW w:type="dxa" w:w="27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Vente accès replay</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27€</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Produits numériques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Gumroad</w:t>
            </w:r>
          </w:p>
        </w:tc>
        <w:tc>
          <w:tcPr>
            <w:tcW w:type="dxa" w:w="2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Pack conformité</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0€ + commission</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Paiements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Stripe</w:t>
            </w:r>
          </w:p>
        </w:tc>
        <w:tc>
          <w:tcPr>
            <w:tcW w:type="dxa" w:w="27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Annuaire payant + veille MRR</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0€ + 1.5%</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IA Contenu</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Claude API</w:t>
            </w:r>
          </w:p>
        </w:tc>
        <w:tc>
          <w:tcPr>
            <w:tcW w:type="dxa" w:w="2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Articles, newsletters, fiches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~15€</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Analytics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GA4 + Microsoft Clarity</w:t>
            </w:r>
          </w:p>
        </w:tc>
        <w:tc>
          <w:tcPr>
            <w:tcW w:type="dxa" w:w="27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Tracking comportement</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0€</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TOTAL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
            </w:r>
          </w:p>
        </w:tc>
        <w:tc>
          <w:tcPr>
            <w:tcW w:type="dxa" w:w="2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65-85€/mois</w:t>
            </w:r>
          </w:p>
        </w:tc>
      </w:tr>
    </w:tbl>
    <w:p>
      <w:r>
        <w:br w:type="page"/>
      </w:r>
    </w:p>
    <w:p>
      <w:pPr>
        <w:pStyle w:val="Heading1"/>
        <w:pBdr>
          <w:bottom w:val="single" w:color="059669" w:sz="8" w:space="4"/>
        </w:pBdr>
        <w:spacing w:after="200" w:before="400"/>
      </w:pPr>
      <w:r>
        <w:rPr>
          <w:rFonts w:ascii="Arial" w:cs="Arial" w:eastAsia="Arial" w:hAnsi="Arial"/>
          <w:b/>
          <w:bCs/>
          <w:color w:val="1A3A5C"/>
          <w:sz w:val="32"/>
          <w:szCs w:val="32"/>
        </w:rPr>
        <w:t xml:space="preserve">4. Les 6 Angles — Plan Détaillé</w:t>
      </w:r>
    </w:p>
    <w:p>
      <w:pPr>
        <w:pStyle w:val="Heading2"/>
        <w:spacing w:after="140" w:before="280"/>
      </w:pPr>
      <w:r>
        <w:rPr>
          <w:rFonts w:ascii="Arial" w:cs="Arial" w:eastAsia="Arial" w:hAnsi="Arial"/>
          <w:b/>
          <w:bCs/>
          <w:color w:val="059669"/>
          <w:sz w:val="26"/>
          <w:szCs w:val="26"/>
        </w:rPr>
        <w:t xml:space="preserve">Épique 0 — Infrastructure &amp; Légal (Semaines 1-2) ⚠️ BLOQUANT</w:t>
      </w:r>
    </w:p>
    <w:p>
      <w:pPr>
        <w:spacing w:after="120"/>
        <w:jc w:val="left"/>
      </w:pPr>
      <w:r>
        <w:rPr>
          <w:rFonts w:ascii="Arial" w:cs="Arial" w:eastAsia="Arial" w:hAnsi="Arial"/>
          <w:b/>
          <w:bCs/>
          <w:i w:val="false"/>
          <w:iCs w:val="false"/>
          <w:color w:val="1E293B"/>
          <w:sz w:val="21"/>
          <w:szCs w:val="21"/>
        </w:rPr>
        <w:t xml:space="preserve">Aucune collecte d'email, aucune vente, aucun contenu publié sans que les mentions légales, la politique de confidentialité et le cookie banner RGPD soient en place. Le projet vend de la conformité — il doit lui-même être conforme.</w:t>
      </w:r>
    </w:p>
    <w:p>
      <w:pPr>
        <w:pStyle w:val="ListParagraph"/>
        <w:numPr>
          <w:ilvl w:val="0"/>
          <w:numId w:val="2"/>
        </w:numPr>
        <w:spacing w:after="80"/>
      </w:pPr>
      <w:r>
        <w:rPr>
          <w:rFonts w:ascii="Arial" w:cs="Arial" w:eastAsia="Arial" w:hAnsi="Arial"/>
          <w:b w:val="false"/>
          <w:bCs w:val="false"/>
          <w:color w:val="1E293B"/>
          <w:sz w:val="21"/>
          <w:szCs w:val="21"/>
        </w:rPr>
        <w:t xml:space="preserve">Domaine neutre (nexusconformite.fr ou conformpro.fr)</w:t>
      </w:r>
    </w:p>
    <w:p>
      <w:pPr>
        <w:pStyle w:val="ListParagraph"/>
        <w:numPr>
          <w:ilvl w:val="0"/>
          <w:numId w:val="2"/>
        </w:numPr>
        <w:spacing w:after="80"/>
      </w:pPr>
      <w:r>
        <w:rPr>
          <w:rFonts w:ascii="Arial" w:cs="Arial" w:eastAsia="Arial" w:hAnsi="Arial"/>
          <w:b w:val="false"/>
          <w:bCs w:val="false"/>
          <w:color w:val="1E293B"/>
          <w:sz w:val="21"/>
          <w:szCs w:val="21"/>
        </w:rPr>
        <w:t xml:space="preserve">WordPress sur VPS Hetzner + SSL + sécurisation (fail2ban, désactivation XML-RPC)</w:t>
      </w:r>
    </w:p>
    <w:p>
      <w:pPr>
        <w:pStyle w:val="ListParagraph"/>
        <w:numPr>
          <w:ilvl w:val="0"/>
          <w:numId w:val="2"/>
        </w:numPr>
        <w:spacing w:after="80"/>
      </w:pPr>
      <w:r>
        <w:rPr>
          <w:rFonts w:ascii="Arial" w:cs="Arial" w:eastAsia="Arial" w:hAnsi="Arial"/>
          <w:b w:val="false"/>
          <w:bCs w:val="false"/>
          <w:color w:val="1E293B"/>
          <w:sz w:val="21"/>
          <w:szCs w:val="21"/>
        </w:rPr>
        <w:t xml:space="preserve">Mentions légales + CGU + politique confidentialité + clause de non-responsabilité</w:t>
      </w:r>
    </w:p>
    <w:p>
      <w:pPr>
        <w:pStyle w:val="ListParagraph"/>
        <w:numPr>
          <w:ilvl w:val="0"/>
          <w:numId w:val="2"/>
        </w:numPr>
        <w:spacing w:after="80"/>
      </w:pPr>
      <w:r>
        <w:rPr>
          <w:rFonts w:ascii="Arial" w:cs="Arial" w:eastAsia="Arial" w:hAnsi="Arial"/>
          <w:b w:val="false"/>
          <w:bCs w:val="false"/>
          <w:color w:val="1E293B"/>
          <w:sz w:val="21"/>
          <w:szCs w:val="21"/>
        </w:rPr>
        <w:t xml:space="preserve">Axeptio (cookie banner RGPD gratuit) + Google Analytics 4 anonymisé</w:t>
      </w:r>
    </w:p>
    <w:p>
      <w:pPr>
        <w:pStyle w:val="ListParagraph"/>
        <w:numPr>
          <w:ilvl w:val="0"/>
          <w:numId w:val="2"/>
        </w:numPr>
        <w:spacing w:after="80"/>
      </w:pPr>
      <w:r>
        <w:rPr>
          <w:rFonts w:ascii="Arial" w:cs="Arial" w:eastAsia="Arial" w:hAnsi="Arial"/>
          <w:b w:val="false"/>
          <w:bCs w:val="false"/>
          <w:color w:val="1E293B"/>
          <w:sz w:val="21"/>
          <w:szCs w:val="21"/>
        </w:rPr>
        <w:t xml:space="preserve">Comptes plateformes : Beehiiv, Gumroad, Systeme.io, Stripe</w:t>
      </w:r>
    </w:p>
    <w:p>
      <w:pPr>
        <w:pStyle w:val="ListParagraph"/>
        <w:numPr>
          <w:ilvl w:val="0"/>
          <w:numId w:val="2"/>
        </w:numPr>
        <w:spacing w:after="80"/>
      </w:pPr>
      <w:r>
        <w:rPr>
          <w:rFonts w:ascii="Arial" w:cs="Arial" w:eastAsia="Arial" w:hAnsi="Arial"/>
          <w:b w:val="false"/>
          <w:bCs w:val="false"/>
          <w:color w:val="1E293B"/>
          <w:sz w:val="21"/>
          <w:szCs w:val="21"/>
        </w:rPr>
        <w:t xml:space="preserve">N8N self-hosted + workflow sauvegarde hebdomadaire automatisée</w:t>
      </w:r>
    </w:p>
    <w:p>
      <w:pPr>
        <w:spacing w:after="100"/>
      </w:pPr>
      <w:r>
        <w:t xml:space="preserve"/>
      </w:r>
    </w:p>
    <w:p>
      <w:pPr>
        <w:pStyle w:val="Heading2"/>
        <w:spacing w:after="140" w:before="280"/>
      </w:pPr>
      <w:r>
        <w:rPr>
          <w:rFonts w:ascii="Arial" w:cs="Arial" w:eastAsia="Arial" w:hAnsi="Arial"/>
          <w:b/>
          <w:bCs/>
          <w:color w:val="059669"/>
          <w:sz w:val="26"/>
          <w:szCs w:val="26"/>
        </w:rPr>
        <w:t xml:space="preserve">Épique 1 — Comparateur PDP (Semaines 2-5)</w:t>
      </w:r>
    </w:p>
    <w:p>
      <w:pPr>
        <w:spacing w:after="120"/>
        <w:jc w:val="left"/>
      </w:pPr>
      <w:r>
        <w:rPr>
          <w:rFonts w:ascii="Arial" w:cs="Arial" w:eastAsia="Arial" w:hAnsi="Arial"/>
          <w:b w:val="false"/>
          <w:bCs w:val="false"/>
          <w:i w:val="false"/>
          <w:iCs w:val="false"/>
          <w:color w:val="1E293B"/>
          <w:sz w:val="21"/>
          <w:szCs w:val="21"/>
        </w:rPr>
        <w:t xml:space="preserve">101 plateformes agréées à comparer. Les TPE/PME sont perdues. Tu es le guide. Les PDPs paient pour être mises en avant (sponsoring), et tu touches des commissions sur les abonnements souscrits.</w:t>
      </w:r>
    </w:p>
    <w:p>
      <w:pPr>
        <w:pStyle w:val="ListParagraph"/>
        <w:numPr>
          <w:ilvl w:val="0"/>
          <w:numId w:val="2"/>
        </w:numPr>
        <w:spacing w:after="80"/>
      </w:pPr>
      <w:r>
        <w:rPr>
          <w:rFonts w:ascii="Arial" w:cs="Arial" w:eastAsia="Arial" w:hAnsi="Arial"/>
          <w:b w:val="false"/>
          <w:bCs w:val="false"/>
          <w:color w:val="1E293B"/>
          <w:sz w:val="21"/>
          <w:szCs w:val="21"/>
        </w:rPr>
        <w:t xml:space="preserve">Lister et qualifier les 101+ PDPs avec critères clés (tarif, formats, intégrations)</w:t>
      </w:r>
    </w:p>
    <w:p>
      <w:pPr>
        <w:pStyle w:val="ListParagraph"/>
        <w:numPr>
          <w:ilvl w:val="0"/>
          <w:numId w:val="2"/>
        </w:numPr>
        <w:spacing w:after="80"/>
      </w:pPr>
      <w:r>
        <w:rPr>
          <w:rFonts w:ascii="Arial" w:cs="Arial" w:eastAsia="Arial" w:hAnsi="Arial"/>
          <w:b w:val="false"/>
          <w:bCs w:val="false"/>
          <w:color w:val="1E293B"/>
          <w:sz w:val="21"/>
          <w:szCs w:val="21"/>
        </w:rPr>
        <w:t xml:space="preserve">Quiz interactif 'Quelle PDP pour mon entreprise ?'</w:t>
      </w:r>
    </w:p>
    <w:p>
      <w:pPr>
        <w:pStyle w:val="ListParagraph"/>
        <w:numPr>
          <w:ilvl w:val="0"/>
          <w:numId w:val="2"/>
        </w:numPr>
        <w:spacing w:after="80"/>
      </w:pPr>
      <w:r>
        <w:rPr>
          <w:rFonts w:ascii="Arial" w:cs="Arial" w:eastAsia="Arial" w:hAnsi="Arial"/>
          <w:b w:val="false"/>
          <w:bCs w:val="false"/>
          <w:color w:val="1E293B"/>
          <w:sz w:val="21"/>
          <w:szCs w:val="21"/>
        </w:rPr>
        <w:t xml:space="preserve">5 articles SEO longue traîne par secteur (bâtiment, santé, commerce, services...)</w:t>
      </w:r>
    </w:p>
    <w:p>
      <w:pPr>
        <w:pStyle w:val="ListParagraph"/>
        <w:numPr>
          <w:ilvl w:val="0"/>
          <w:numId w:val="2"/>
        </w:numPr>
        <w:spacing w:after="80"/>
      </w:pPr>
      <w:r>
        <w:rPr>
          <w:rFonts w:ascii="Arial" w:cs="Arial" w:eastAsia="Arial" w:hAnsi="Arial"/>
          <w:b w:val="false"/>
          <w:bCs w:val="false"/>
          <w:color w:val="1E293B"/>
          <w:sz w:val="21"/>
          <w:szCs w:val="21"/>
        </w:rPr>
        <w:t xml:space="preserve">Formulaire 'Être mis en relation avec un expert PDP' (lead gen prestataires)</w:t>
      </w:r>
    </w:p>
    <w:p>
      <w:pPr>
        <w:pStyle w:val="ListParagraph"/>
        <w:numPr>
          <w:ilvl w:val="0"/>
          <w:numId w:val="2"/>
        </w:numPr>
        <w:spacing w:after="80"/>
      </w:pPr>
      <w:r>
        <w:rPr>
          <w:rFonts w:ascii="Arial" w:cs="Arial" w:eastAsia="Arial" w:hAnsi="Arial"/>
          <w:b w:val="false"/>
          <w:bCs w:val="false"/>
          <w:color w:val="1E293B"/>
          <w:sz w:val="21"/>
          <w:szCs w:val="21"/>
        </w:rPr>
        <w:t xml:space="preserve">Revenus : commissions affiliation + sponsoring PDP (500-2000€/mois/sponsor)</w:t>
      </w:r>
    </w:p>
    <w:p>
      <w:pPr>
        <w:spacing w:after="100"/>
      </w:pPr>
      <w:r>
        <w:t xml:space="preserve"/>
      </w:r>
    </w:p>
    <w:p>
      <w:pPr>
        <w:pStyle w:val="Heading2"/>
        <w:spacing w:after="140" w:before="280"/>
      </w:pPr>
      <w:r>
        <w:rPr>
          <w:rFonts w:ascii="Arial" w:cs="Arial" w:eastAsia="Arial" w:hAnsi="Arial"/>
          <w:b/>
          <w:bCs/>
          <w:color w:val="059669"/>
          <w:sz w:val="26"/>
          <w:szCs w:val="26"/>
        </w:rPr>
        <w:t xml:space="preserve">Épique 2 — Newsletter 'Conformité PME' (Semaines 2-4)</w:t>
      </w:r>
    </w:p>
    <w:p>
      <w:pPr>
        <w:spacing w:after="120"/>
        <w:jc w:val="left"/>
      </w:pPr>
      <w:r>
        <w:rPr>
          <w:rFonts w:ascii="Arial" w:cs="Arial" w:eastAsia="Arial" w:hAnsi="Arial"/>
          <w:b w:val="false"/>
          <w:bCs w:val="false"/>
          <w:i w:val="false"/>
          <w:iCs w:val="false"/>
          <w:color w:val="1E293B"/>
          <w:sz w:val="21"/>
          <w:szCs w:val="21"/>
        </w:rPr>
        <w:t xml:space="preserve">Un email utile par semaine. Séquence de bienvenue automatisée sur 21 jours. Affiliation Axonaut (40% récurrent), Pennylane, Axeptio. Sponsoring vendu à 500-2000€/placement une fois l'audience constituée.</w:t>
      </w:r>
    </w:p>
    <w:p>
      <w:pPr>
        <w:pStyle w:val="ListParagraph"/>
        <w:numPr>
          <w:ilvl w:val="0"/>
          <w:numId w:val="2"/>
        </w:numPr>
        <w:spacing w:after="80"/>
      </w:pPr>
      <w:r>
        <w:rPr>
          <w:rFonts w:ascii="Arial" w:cs="Arial" w:eastAsia="Arial" w:hAnsi="Arial"/>
          <w:b w:val="false"/>
          <w:bCs w:val="false"/>
          <w:color w:val="1E293B"/>
          <w:sz w:val="21"/>
          <w:szCs w:val="21"/>
        </w:rPr>
        <w:t xml:space="preserve">Lead magnet : PDF gratuit 'Calendrier des deadlines réglementaires 2026-2027'</w:t>
      </w:r>
    </w:p>
    <w:p>
      <w:pPr>
        <w:pStyle w:val="ListParagraph"/>
        <w:numPr>
          <w:ilvl w:val="0"/>
          <w:numId w:val="2"/>
        </w:numPr>
        <w:spacing w:after="80"/>
      </w:pPr>
      <w:r>
        <w:rPr>
          <w:rFonts w:ascii="Arial" w:cs="Arial" w:eastAsia="Arial" w:hAnsi="Arial"/>
          <w:b w:val="false"/>
          <w:bCs w:val="false"/>
          <w:color w:val="1E293B"/>
          <w:sz w:val="21"/>
          <w:szCs w:val="21"/>
        </w:rPr>
        <w:t xml:space="preserve">Séquence 5 emails : bienvenue → NIS2 → facturation → RGPD → pack offert</w:t>
      </w:r>
    </w:p>
    <w:p>
      <w:pPr>
        <w:pStyle w:val="ListParagraph"/>
        <w:numPr>
          <w:ilvl w:val="0"/>
          <w:numId w:val="2"/>
        </w:numPr>
        <w:spacing w:after="80"/>
      </w:pPr>
      <w:r>
        <w:rPr>
          <w:rFonts w:ascii="Arial" w:cs="Arial" w:eastAsia="Arial" w:hAnsi="Arial"/>
          <w:b w:val="false"/>
          <w:bCs w:val="false"/>
          <w:color w:val="1E293B"/>
          <w:sz w:val="21"/>
          <w:szCs w:val="21"/>
        </w:rPr>
        <w:t xml:space="preserve">Newsletter hebdo automatisée via N8N + Claude API → Beehiiv API</w:t>
      </w:r>
    </w:p>
    <w:p>
      <w:pPr>
        <w:pStyle w:val="ListParagraph"/>
        <w:numPr>
          <w:ilvl w:val="0"/>
          <w:numId w:val="2"/>
        </w:numPr>
        <w:spacing w:after="80"/>
      </w:pPr>
      <w:r>
        <w:rPr>
          <w:rFonts w:ascii="Arial" w:cs="Arial" w:eastAsia="Arial" w:hAnsi="Arial"/>
          <w:b w:val="false"/>
          <w:bCs w:val="false"/>
          <w:color w:val="1E293B"/>
          <w:sz w:val="21"/>
          <w:szCs w:val="21"/>
        </w:rPr>
        <w:t xml:space="preserve">Page sponsoring avec tarifs dès 500 abonnés</w:t>
      </w:r>
    </w:p>
    <w:p>
      <w:pPr>
        <w:spacing w:after="100"/>
      </w:pPr>
      <w:r>
        <w:t xml:space="preserve"/>
      </w:r>
    </w:p>
    <w:p>
      <w:pPr>
        <w:pStyle w:val="Heading2"/>
        <w:spacing w:after="140" w:before="280"/>
      </w:pPr>
      <w:r>
        <w:rPr>
          <w:rFonts w:ascii="Arial" w:cs="Arial" w:eastAsia="Arial" w:hAnsi="Arial"/>
          <w:b/>
          <w:bCs/>
          <w:color w:val="059669"/>
          <w:sz w:val="26"/>
          <w:szCs w:val="26"/>
        </w:rPr>
        <w:t xml:space="preserve">Épique 3 — Annuaire Prestataires (Semaines 4-7)</w:t>
      </w:r>
    </w:p>
    <w:p>
      <w:pPr>
        <w:spacing w:after="120"/>
        <w:jc w:val="left"/>
      </w:pPr>
      <w:r>
        <w:rPr>
          <w:rFonts w:ascii="Arial" w:cs="Arial" w:eastAsia="Arial" w:hAnsi="Arial"/>
          <w:b w:val="false"/>
          <w:bCs w:val="false"/>
          <w:i w:val="false"/>
          <w:iCs w:val="false"/>
          <w:color w:val="1E293B"/>
          <w:sz w:val="21"/>
          <w:szCs w:val="21"/>
        </w:rPr>
        <w:t xml:space="preserve">Pages Jaunes spécialisées de la conformité. Experts-comptables, RSSI freelance, avocats RGPD, intégrateurs PDP. Abonnement 49€/mois standard ou 149€/mois premium. Aucune responsabilité sur les prestataires — clause CGU explicite.</w:t>
      </w:r>
    </w:p>
    <w:p>
      <w:pPr>
        <w:pStyle w:val="ListParagraph"/>
        <w:numPr>
          <w:ilvl w:val="0"/>
          <w:numId w:val="2"/>
        </w:numPr>
        <w:spacing w:after="80"/>
      </w:pPr>
      <w:r>
        <w:rPr>
          <w:rFonts w:ascii="Arial" w:cs="Arial" w:eastAsia="Arial" w:hAnsi="Arial"/>
          <w:b w:val="false"/>
          <w:bCs w:val="false"/>
          <w:color w:val="1E293B"/>
          <w:sz w:val="21"/>
          <w:szCs w:val="21"/>
        </w:rPr>
        <w:t xml:space="preserve">Catégories : Expert-comptable / RSSI / Avocat RGPD / Intégrateur PDP / Formateur</w:t>
      </w:r>
    </w:p>
    <w:p>
      <w:pPr>
        <w:pStyle w:val="ListParagraph"/>
        <w:numPr>
          <w:ilvl w:val="0"/>
          <w:numId w:val="2"/>
        </w:numPr>
        <w:spacing w:after="80"/>
      </w:pPr>
      <w:r>
        <w:rPr>
          <w:rFonts w:ascii="Arial" w:cs="Arial" w:eastAsia="Arial" w:hAnsi="Arial"/>
          <w:b w:val="false"/>
          <w:bCs w:val="false"/>
          <w:color w:val="1E293B"/>
          <w:sz w:val="21"/>
          <w:szCs w:val="21"/>
        </w:rPr>
        <w:t xml:space="preserve">Stripe pour abonnements récurrents prestataires</w:t>
      </w:r>
    </w:p>
    <w:p>
      <w:pPr>
        <w:pStyle w:val="ListParagraph"/>
        <w:numPr>
          <w:ilvl w:val="0"/>
          <w:numId w:val="2"/>
        </w:numPr>
        <w:spacing w:after="80"/>
      </w:pPr>
      <w:r>
        <w:rPr>
          <w:rFonts w:ascii="Arial" w:cs="Arial" w:eastAsia="Arial" w:hAnsi="Arial"/>
          <w:b w:val="false"/>
          <w:bCs w:val="false"/>
          <w:color w:val="1E293B"/>
          <w:sz w:val="21"/>
          <w:szCs w:val="21"/>
        </w:rPr>
        <w:t xml:space="preserve">Formulaire mise en relation TPE → Prestataire (lead qualifié)</w:t>
      </w:r>
    </w:p>
    <w:p>
      <w:pPr>
        <w:pStyle w:val="ListParagraph"/>
        <w:numPr>
          <w:ilvl w:val="0"/>
          <w:numId w:val="2"/>
        </w:numPr>
        <w:spacing w:after="80"/>
      </w:pPr>
      <w:r>
        <w:rPr>
          <w:rFonts w:ascii="Arial" w:cs="Arial" w:eastAsia="Arial" w:hAnsi="Arial"/>
          <w:b w:val="false"/>
          <w:bCs w:val="false"/>
          <w:color w:val="1E293B"/>
          <w:sz w:val="21"/>
          <w:szCs w:val="21"/>
        </w:rPr>
        <w:t xml:space="preserve">50 prestataires abonnés = 2450-7450€/mois récurrents</w:t>
      </w:r>
    </w:p>
    <w:p>
      <w:pPr>
        <w:spacing w:after="100"/>
      </w:pPr>
      <w:r>
        <w:t xml:space="preserve"/>
      </w:r>
    </w:p>
    <w:p>
      <w:pPr>
        <w:pStyle w:val="Heading2"/>
        <w:spacing w:after="140" w:before="280"/>
      </w:pPr>
      <w:r>
        <w:rPr>
          <w:rFonts w:ascii="Arial" w:cs="Arial" w:eastAsia="Arial" w:hAnsi="Arial"/>
          <w:b/>
          <w:bCs/>
          <w:color w:val="059669"/>
          <w:sz w:val="26"/>
          <w:szCs w:val="26"/>
        </w:rPr>
        <w:t xml:space="preserve">Épique 4 — Webinaire Evergreen (Semaines 5-8)</w:t>
      </w:r>
    </w:p>
    <w:p>
      <w:pPr>
        <w:spacing w:after="120"/>
        <w:jc w:val="left"/>
      </w:pPr>
      <w:r>
        <w:rPr>
          <w:rFonts w:ascii="Arial" w:cs="Arial" w:eastAsia="Arial" w:hAnsi="Arial"/>
          <w:b w:val="false"/>
          <w:bCs w:val="false"/>
          <w:i w:val="false"/>
          <w:iCs w:val="false"/>
          <w:color w:val="1E293B"/>
          <w:sz w:val="21"/>
          <w:szCs w:val="21"/>
        </w:rPr>
        <w:t xml:space="preserve">Enregistré une fois. Disponible en replay automatisé 24h/24 via Systeme.io. 45 minutes : contexte → 4 obligations → plan d'action → outils → Q&amp;A pré-enregistré. Prix : 47€ basique / 97€ premium.</w:t>
      </w:r>
    </w:p>
    <w:p>
      <w:pPr>
        <w:pStyle w:val="ListParagraph"/>
        <w:numPr>
          <w:ilvl w:val="0"/>
          <w:numId w:val="2"/>
        </w:numPr>
        <w:spacing w:after="80"/>
      </w:pPr>
      <w:r>
        <w:rPr>
          <w:rFonts w:ascii="Arial" w:cs="Arial" w:eastAsia="Arial" w:hAnsi="Arial"/>
          <w:b w:val="false"/>
          <w:bCs w:val="false"/>
          <w:color w:val="1E293B"/>
          <w:sz w:val="21"/>
          <w:szCs w:val="21"/>
        </w:rPr>
        <w:t xml:space="preserve">Script rédigé avec Claude, screen recording, pas de caméra</w:t>
      </w:r>
    </w:p>
    <w:p>
      <w:pPr>
        <w:pStyle w:val="ListParagraph"/>
        <w:numPr>
          <w:ilvl w:val="0"/>
          <w:numId w:val="2"/>
        </w:numPr>
        <w:spacing w:after="80"/>
      </w:pPr>
      <w:r>
        <w:rPr>
          <w:rFonts w:ascii="Arial" w:cs="Arial" w:eastAsia="Arial" w:hAnsi="Arial"/>
          <w:b w:val="false"/>
          <w:bCs w:val="false"/>
          <w:color w:val="1E293B"/>
          <w:sz w:val="21"/>
          <w:szCs w:val="21"/>
        </w:rPr>
        <w:t xml:space="preserve">Upsell en fin de replay vers le Pack Gumroad et les liens affiliés</w:t>
      </w:r>
    </w:p>
    <w:p>
      <w:pPr>
        <w:pStyle w:val="ListParagraph"/>
        <w:numPr>
          <w:ilvl w:val="0"/>
          <w:numId w:val="2"/>
        </w:numPr>
        <w:spacing w:after="80"/>
      </w:pPr>
      <w:r>
        <w:rPr>
          <w:rFonts w:ascii="Arial" w:cs="Arial" w:eastAsia="Arial" w:hAnsi="Arial"/>
          <w:b w:val="false"/>
          <w:bCs w:val="false"/>
          <w:color w:val="1E293B"/>
          <w:sz w:val="21"/>
          <w:szCs w:val="21"/>
        </w:rPr>
        <w:t xml:space="preserve">Rentable dès 2 ventes (couvre le coût mensuel Systeme.io)</w:t>
      </w:r>
    </w:p>
    <w:p>
      <w:pPr>
        <w:spacing w:after="100"/>
      </w:pPr>
      <w:r>
        <w:t xml:space="preserve"/>
      </w:r>
    </w:p>
    <w:p>
      <w:pPr>
        <w:pStyle w:val="Heading2"/>
        <w:spacing w:after="140" w:before="280"/>
      </w:pPr>
      <w:r>
        <w:rPr>
          <w:rFonts w:ascii="Arial" w:cs="Arial" w:eastAsia="Arial" w:hAnsi="Arial"/>
          <w:b/>
          <w:bCs/>
          <w:color w:val="059669"/>
          <w:sz w:val="26"/>
          <w:szCs w:val="26"/>
        </w:rPr>
        <w:t xml:space="preserve">Épique 5 — Pack Conformité Numérique Gumroad (Semaines 3-5)</w:t>
      </w:r>
    </w:p>
    <w:p>
      <w:pPr>
        <w:spacing w:after="120"/>
        <w:jc w:val="left"/>
      </w:pPr>
      <w:r>
        <w:rPr>
          <w:rFonts w:ascii="Arial" w:cs="Arial" w:eastAsia="Arial" w:hAnsi="Arial"/>
          <w:b w:val="false"/>
          <w:bCs w:val="false"/>
          <w:i w:val="false"/>
          <w:iCs w:val="false"/>
          <w:color w:val="1E293B"/>
          <w:sz w:val="21"/>
          <w:szCs w:val="21"/>
        </w:rPr>
        <w:t xml:space="preserve">Le produit le plus rapide à lancer. Créé avec l'IA en 2-3 jours. Vendu 67€ (lancement) / 97€ (prix normal). Livraison automatique.</w:t>
      </w:r>
    </w:p>
    <w:p>
      <w:pPr>
        <w:pStyle w:val="ListParagraph"/>
        <w:numPr>
          <w:ilvl w:val="0"/>
          <w:numId w:val="2"/>
        </w:numPr>
        <w:spacing w:after="80"/>
      </w:pPr>
      <w:r>
        <w:rPr>
          <w:rFonts w:ascii="Arial" w:cs="Arial" w:eastAsia="Arial" w:hAnsi="Arial"/>
          <w:b w:val="false"/>
          <w:bCs w:val="false"/>
          <w:color w:val="1E293B"/>
          <w:sz w:val="21"/>
          <w:szCs w:val="21"/>
        </w:rPr>
        <w:t xml:space="preserve">Checklist facturation électronique 20 points</w:t>
      </w:r>
    </w:p>
    <w:p>
      <w:pPr>
        <w:pStyle w:val="ListParagraph"/>
        <w:numPr>
          <w:ilvl w:val="0"/>
          <w:numId w:val="2"/>
        </w:numPr>
        <w:spacing w:after="80"/>
      </w:pPr>
      <w:r>
        <w:rPr>
          <w:rFonts w:ascii="Arial" w:cs="Arial" w:eastAsia="Arial" w:hAnsi="Arial"/>
          <w:b w:val="false"/>
          <w:bCs w:val="false"/>
          <w:color w:val="1E293B"/>
          <w:sz w:val="21"/>
          <w:szCs w:val="21"/>
        </w:rPr>
        <w:t xml:space="preserve">Guide NIS2 simplifié 15 pages</w:t>
      </w:r>
    </w:p>
    <w:p>
      <w:pPr>
        <w:pStyle w:val="ListParagraph"/>
        <w:numPr>
          <w:ilvl w:val="0"/>
          <w:numId w:val="2"/>
        </w:numPr>
        <w:spacing w:after="80"/>
      </w:pPr>
      <w:r>
        <w:rPr>
          <w:rFonts w:ascii="Arial" w:cs="Arial" w:eastAsia="Arial" w:hAnsi="Arial"/>
          <w:b w:val="false"/>
          <w:bCs w:val="false"/>
          <w:color w:val="1E293B"/>
          <w:sz w:val="21"/>
          <w:szCs w:val="21"/>
        </w:rPr>
        <w:t xml:space="preserve">Template politique RGPD adaptable</w:t>
      </w:r>
    </w:p>
    <w:p>
      <w:pPr>
        <w:pStyle w:val="ListParagraph"/>
        <w:numPr>
          <w:ilvl w:val="0"/>
          <w:numId w:val="2"/>
        </w:numPr>
        <w:spacing w:after="80"/>
      </w:pPr>
      <w:r>
        <w:rPr>
          <w:rFonts w:ascii="Arial" w:cs="Arial" w:eastAsia="Arial" w:hAnsi="Arial"/>
          <w:b w:val="false"/>
          <w:bCs w:val="false"/>
          <w:color w:val="1E293B"/>
          <w:sz w:val="21"/>
          <w:szCs w:val="21"/>
        </w:rPr>
        <w:t xml:space="preserve">Calendrier deadlines 2026-2027 (PDF + Excel)</w:t>
      </w:r>
    </w:p>
    <w:p>
      <w:pPr>
        <w:pStyle w:val="ListParagraph"/>
        <w:numPr>
          <w:ilvl w:val="0"/>
          <w:numId w:val="2"/>
        </w:numPr>
        <w:spacing w:after="80"/>
      </w:pPr>
      <w:r>
        <w:rPr>
          <w:rFonts w:ascii="Arial" w:cs="Arial" w:eastAsia="Arial" w:hAnsi="Arial"/>
          <w:b w:val="false"/>
          <w:bCs w:val="false"/>
          <w:color w:val="1E293B"/>
          <w:sz w:val="21"/>
          <w:szCs w:val="21"/>
        </w:rPr>
        <w:t xml:space="preserve">Comparatif top 10 PDPs par secteur d'activité</w:t>
      </w:r>
    </w:p>
    <w:p>
      <w:pPr>
        <w:spacing w:after="100"/>
      </w:pPr>
      <w:r>
        <w:t xml:space="preserve"/>
      </w:r>
    </w:p>
    <w:p>
      <w:pPr>
        <w:pStyle w:val="Heading2"/>
        <w:spacing w:after="140" w:before="280"/>
      </w:pPr>
      <w:r>
        <w:rPr>
          <w:rFonts w:ascii="Arial" w:cs="Arial" w:eastAsia="Arial" w:hAnsi="Arial"/>
          <w:b/>
          <w:bCs/>
          <w:color w:val="059669"/>
          <w:sz w:val="26"/>
          <w:szCs w:val="26"/>
        </w:rPr>
        <w:t xml:space="preserve">Épique 6 — Veille Réglementaire Freemium (Semaines 6-10)</w:t>
      </w:r>
    </w:p>
    <w:p>
      <w:pPr>
        <w:spacing w:after="120"/>
        <w:jc w:val="left"/>
      </w:pPr>
      <w:r>
        <w:rPr>
          <w:rFonts w:ascii="Arial" w:cs="Arial" w:eastAsia="Arial" w:hAnsi="Arial"/>
          <w:b w:val="false"/>
          <w:bCs w:val="false"/>
          <w:i w:val="false"/>
          <w:iCs w:val="false"/>
          <w:color w:val="1E293B"/>
          <w:sz w:val="21"/>
          <w:szCs w:val="21"/>
        </w:rPr>
        <w:t xml:space="preserve">MRR pur. Gratuit : alertes deadlines. Payant (9-19€/mois) : fiches d'action mensuelles générées par IA. N8N surveille les sources officielles (ANSSI, DGFiP, CNIL, Journal Officiel) et déclenche les alertes automatiquement.</w:t>
      </w:r>
    </w:p>
    <w:p>
      <w:pPr>
        <w:pStyle w:val="ListParagraph"/>
        <w:numPr>
          <w:ilvl w:val="0"/>
          <w:numId w:val="2"/>
        </w:numPr>
        <w:spacing w:after="80"/>
      </w:pPr>
      <w:r>
        <w:rPr>
          <w:rFonts w:ascii="Arial" w:cs="Arial" w:eastAsia="Arial" w:hAnsi="Arial"/>
          <w:b w:val="false"/>
          <w:bCs w:val="false"/>
          <w:color w:val="1E293B"/>
          <w:sz w:val="21"/>
          <w:szCs w:val="21"/>
        </w:rPr>
        <w:t xml:space="preserve">Segment Beehiiv dédié + Stripe abonnements</w:t>
      </w:r>
    </w:p>
    <w:p>
      <w:pPr>
        <w:pStyle w:val="ListParagraph"/>
        <w:numPr>
          <w:ilvl w:val="0"/>
          <w:numId w:val="2"/>
        </w:numPr>
        <w:spacing w:after="80"/>
      </w:pPr>
      <w:r>
        <w:rPr>
          <w:rFonts w:ascii="Arial" w:cs="Arial" w:eastAsia="Arial" w:hAnsi="Arial"/>
          <w:b w:val="false"/>
          <w:bCs w:val="false"/>
          <w:color w:val="1E293B"/>
          <w:sz w:val="21"/>
          <w:szCs w:val="21"/>
        </w:rPr>
        <w:t xml:space="preserve">Workflow N8N : veille sources officielles → alerte auto → fiche action Claude API</w:t>
      </w:r>
    </w:p>
    <w:p>
      <w:pPr>
        <w:pStyle w:val="ListParagraph"/>
        <w:numPr>
          <w:ilvl w:val="0"/>
          <w:numId w:val="2"/>
        </w:numPr>
        <w:spacing w:after="80"/>
      </w:pPr>
      <w:r>
        <w:rPr>
          <w:rFonts w:ascii="Arial" w:cs="Arial" w:eastAsia="Arial" w:hAnsi="Arial"/>
          <w:b w:val="false"/>
          <w:bCs w:val="false"/>
          <w:color w:val="1E293B"/>
          <w:sz w:val="21"/>
          <w:szCs w:val="21"/>
        </w:rPr>
        <w:t xml:space="preserve">500 abonnés payants à 14€/mois moyen = 7000€/mois MRR</w:t>
      </w:r>
    </w:p>
    <w:p>
      <w:r>
        <w:br w:type="page"/>
      </w:r>
    </w:p>
    <w:p>
      <w:pPr>
        <w:pStyle w:val="Heading1"/>
        <w:pBdr>
          <w:bottom w:val="single" w:color="059669" w:sz="8" w:space="4"/>
        </w:pBdr>
        <w:spacing w:after="200" w:before="400"/>
      </w:pPr>
      <w:r>
        <w:rPr>
          <w:rFonts w:ascii="Arial" w:cs="Arial" w:eastAsia="Arial" w:hAnsi="Arial"/>
          <w:b/>
          <w:bCs/>
          <w:color w:val="1A3A5C"/>
          <w:sz w:val="32"/>
          <w:szCs w:val="32"/>
        </w:rPr>
        <w:t xml:space="preserve">5. Sécurité &amp; Conformité Opérationnelle</w:t>
      </w:r>
    </w:p>
    <w:p>
      <w:pPr>
        <w:spacing w:after="120"/>
        <w:jc w:val="left"/>
      </w:pPr>
      <w:r>
        <w:rPr>
          <w:rFonts w:ascii="Arial" w:cs="Arial" w:eastAsia="Arial" w:hAnsi="Arial"/>
          <w:b/>
          <w:bCs/>
          <w:i w:val="false"/>
          <w:iCs w:val="false"/>
          <w:color w:val="1E293B"/>
          <w:sz w:val="21"/>
          <w:szCs w:val="21"/>
        </w:rPr>
        <w:t xml:space="preserve">Ce point est stratégiquement critique : le projet vend de la conformité réglementaire. Il doit être lui-même irréprochable sur ce terrain.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Surface de risque</w:t>
            </w:r>
          </w:p>
        </w:tc>
        <w:tc>
          <w:tcPr>
            <w:tcW w:type="dxa" w:w="4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c>
          <w:tcPr>
            <w:tcW w:type="dxa" w:w="2026"/>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Priorité</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Responsabilité conseil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Disclaimer sur chaque page + CGU explicites</w:t>
            </w:r>
          </w:p>
        </w:tc>
        <w:tc>
          <w:tcPr>
            <w:tcW w:type="dxa" w:w="2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 P0</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Données newsletter</w:t>
            </w:r>
          </w:p>
        </w:tc>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Beehiiv RGPD + double opt-in obligatoire</w:t>
            </w:r>
          </w:p>
        </w:tc>
        <w:tc>
          <w:tcPr>
            <w:tcW w:type="dxa" w:w="20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 P0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Paiements annuaire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Stripe PCI-DSS, zéro CB stockée localement</w:t>
            </w:r>
          </w:p>
        </w:tc>
        <w:tc>
          <w:tcPr>
            <w:tcW w:type="dxa" w:w="2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 P0</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Contenus IA inexacts</w:t>
            </w:r>
          </w:p>
        </w:tc>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Validation humaine avant publication systématique</w:t>
            </w:r>
          </w:p>
        </w:tc>
        <w:tc>
          <w:tcPr>
            <w:tcW w:type="dxa" w:w="20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 P1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Liens affiliés non déclarés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Mention #lien-affilié sur chaque recommandation</w:t>
            </w:r>
          </w:p>
        </w:tc>
        <w:tc>
          <w:tcPr>
            <w:tcW w:type="dxa" w:w="2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 P0</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Prestataires frauduleux</w:t>
            </w:r>
          </w:p>
        </w:tc>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Validation manuelle avant publication annuaire</w:t>
            </w:r>
          </w:p>
        </w:tc>
        <w:tc>
          <w:tcPr>
            <w:tcW w:type="dxa" w:w="20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 P1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Sécurité VPS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SSH par clé, fail2ban, N8N derrière Caddy HTTPS</w:t>
            </w:r>
          </w:p>
        </w:tc>
        <w:tc>
          <w:tcPr>
            <w:tcW w:type="dxa" w:w="2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 P1</w:t>
            </w:r>
          </w:p>
        </w:tc>
      </w:tr>
    </w:tbl>
    <w:p>
      <w:r>
        <w:br w:type="page"/>
      </w:r>
    </w:p>
    <w:p>
      <w:pPr>
        <w:pStyle w:val="Heading1"/>
        <w:pBdr>
          <w:bottom w:val="single" w:color="059669" w:sz="8" w:space="4"/>
        </w:pBdr>
        <w:spacing w:after="200" w:before="400"/>
      </w:pPr>
      <w:r>
        <w:rPr>
          <w:rFonts w:ascii="Arial" w:cs="Arial" w:eastAsia="Arial" w:hAnsi="Arial"/>
          <w:b/>
          <w:bCs/>
          <w:color w:val="1A3A5C"/>
          <w:sz w:val="32"/>
          <w:szCs w:val="32"/>
        </w:rPr>
        <w:t xml:space="preserve">6. Projections Financières Consolidées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300"/>
        <w:gridCol w:w="1300"/>
        <w:gridCol w:w="1200"/>
        <w:gridCol w:w="1300"/>
        <w:gridCol w:w="1926"/>
      </w:tblGrid>
      <w:tr>
        <w:tc>
          <w:tcPr>
            <w:tcW w:type="dxa" w:w="14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Période</w:t>
            </w:r>
          </w:p>
        </w:tc>
        <w:tc>
          <w:tcPr>
            <w:tcW w:type="dxa" w:w="13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Comparateur</w:t>
            </w:r>
          </w:p>
        </w:tc>
        <w:tc>
          <w:tcPr>
            <w:tcW w:type="dxa" w:w="13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Newsletter</w:t>
            </w:r>
          </w:p>
        </w:tc>
        <w:tc>
          <w:tcPr>
            <w:tcW w:type="dxa" w:w="13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Annuaire</w:t>
            </w:r>
          </w:p>
        </w:tc>
        <w:tc>
          <w:tcPr>
            <w:tcW w:type="dxa" w:w="13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Webinaire</w:t>
            </w:r>
          </w:p>
        </w:tc>
        <w:tc>
          <w:tcPr>
            <w:tcW w:type="dxa" w:w="1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Pack</w:t>
            </w:r>
          </w:p>
        </w:tc>
        <w:tc>
          <w:tcPr>
            <w:tcW w:type="dxa" w:w="13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Veille MRR</w:t>
            </w:r>
          </w:p>
        </w:tc>
        <w:tc>
          <w:tcPr>
            <w:tcW w:type="dxa" w:w="1926"/>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TOTAL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Mois 1-2</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100€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200€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0€</w:t>
            </w:r>
          </w:p>
        </w:tc>
        <w:tc>
          <w:tcPr>
            <w:tcW w:type="dxa" w:w="19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300€</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Mois 3</w:t>
            </w:r>
          </w:p>
        </w:tc>
        <w:tc>
          <w:tcPr>
            <w:tcW w:type="dxa" w:w="13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350€</w:t>
            </w:r>
          </w:p>
        </w:tc>
        <w:tc>
          <w:tcPr>
            <w:tcW w:type="dxa" w:w="13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500€</w:t>
            </w:r>
          </w:p>
        </w:tc>
        <w:tc>
          <w:tcPr>
            <w:tcW w:type="dxa" w:w="13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350€</w:t>
            </w:r>
          </w:p>
        </w:tc>
        <w:tc>
          <w:tcPr>
            <w:tcW w:type="dxa" w:w="13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300€</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400€</w:t>
            </w:r>
          </w:p>
        </w:tc>
        <w:tc>
          <w:tcPr>
            <w:tcW w:type="dxa" w:w="13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100€</w:t>
            </w:r>
          </w:p>
        </w:tc>
        <w:tc>
          <w:tcPr>
            <w:tcW w:type="dxa" w:w="19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2 000€</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Mois 6</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1 150€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1 750€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1 400€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750€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750€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500€</w:t>
            </w:r>
          </w:p>
        </w:tc>
        <w:tc>
          <w:tcPr>
            <w:tcW w:type="dxa" w:w="19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6 300€</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Mois 9</w:t>
            </w:r>
          </w:p>
        </w:tc>
        <w:tc>
          <w:tcPr>
            <w:tcW w:type="dxa" w:w="13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2 250€</w:t>
            </w:r>
          </w:p>
        </w:tc>
        <w:tc>
          <w:tcPr>
            <w:tcW w:type="dxa" w:w="13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3 000€</w:t>
            </w:r>
          </w:p>
        </w:tc>
        <w:tc>
          <w:tcPr>
            <w:tcW w:type="dxa" w:w="13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2 750€</w:t>
            </w:r>
          </w:p>
        </w:tc>
        <w:tc>
          <w:tcPr>
            <w:tcW w:type="dxa" w:w="13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1 150€</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900€</w:t>
            </w:r>
          </w:p>
        </w:tc>
        <w:tc>
          <w:tcPr>
            <w:tcW w:type="dxa" w:w="13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1 500€</w:t>
            </w:r>
          </w:p>
        </w:tc>
        <w:tc>
          <w:tcPr>
            <w:tcW w:type="dxa" w:w="19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11 550€</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Mois 12</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3 750€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4 500€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4 000€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1 500€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1 150€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3 000€</w:t>
            </w:r>
          </w:p>
        </w:tc>
        <w:tc>
          <w:tcPr>
            <w:tcW w:type="dxa" w:w="19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17 900€</w:t>
            </w:r>
          </w:p>
        </w:tc>
      </w:tr>
    </w:tbl>
    <w:p>
      <w:pPr>
        <w:spacing w:after="100"/>
      </w:pPr>
      <w:r>
        <w:t xml:space="preserve"/>
      </w:r>
    </w:p>
    <w:p>
      <w:pPr>
        <w:spacing w:after="120"/>
        <w:jc w:val="left"/>
      </w:pPr>
      <w:r>
        <w:rPr>
          <w:rFonts w:ascii="Arial" w:cs="Arial" w:eastAsia="Arial" w:hAnsi="Arial"/>
          <w:b w:val="false"/>
          <w:bCs w:val="false"/>
          <w:i/>
          <w:iCs/>
          <w:color w:val="64748B"/>
          <w:sz w:val="21"/>
          <w:szCs w:val="21"/>
        </w:rPr>
        <w:t xml:space="preserve">Note : Projections basées sur croissance organique SEO. Un budget pub de 100-200€/mois dès le mois 3 peut accélérer significativement ces chiffres.</w:t>
      </w:r>
    </w:p>
    <w:p>
      <w:r>
        <w:br w:type="page"/>
      </w:r>
    </w:p>
    <w:p>
      <w:pPr>
        <w:pStyle w:val="Heading1"/>
        <w:pBdr>
          <w:bottom w:val="single" w:color="059669" w:sz="8" w:space="4"/>
        </w:pBdr>
        <w:spacing w:after="200" w:before="400"/>
      </w:pPr>
      <w:r>
        <w:rPr>
          <w:rFonts w:ascii="Arial" w:cs="Arial" w:eastAsia="Arial" w:hAnsi="Arial"/>
          <w:b/>
          <w:bCs/>
          <w:color w:val="1A3A5C"/>
          <w:sz w:val="32"/>
          <w:szCs w:val="32"/>
        </w:rPr>
        <w:t xml:space="preserve">7. Architecture Tracking &amp; Analytics</w:t>
      </w:r>
    </w:p>
    <w:p>
      <w:pPr>
        <w:spacing w:after="120"/>
        <w:jc w:val="left"/>
      </w:pPr>
      <w:r>
        <w:rPr>
          <w:rFonts w:ascii="Arial" w:cs="Arial" w:eastAsia="Arial" w:hAnsi="Arial"/>
          <w:b w:val="false"/>
          <w:bCs w:val="false"/>
          <w:i w:val="false"/>
          <w:iCs w:val="false"/>
          <w:color w:val="1E293B"/>
          <w:sz w:val="21"/>
          <w:szCs w:val="21"/>
        </w:rPr>
        <w:t xml:space="preserve">Le tracking est le système nerveux du projet. Il permet d'identifier en temps réel ce qui accroche, où les visiteurs décrochent, et quels contenus génèrent des revenus.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800"/>
        <w:gridCol w:w="1926"/>
      </w:tblGrid>
      <w:tr>
        <w:tc>
          <w:tcPr>
            <w:tcW w:type="dxa" w:w="23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Signal mesuré</w:t>
            </w:r>
          </w:p>
        </w:tc>
        <w:tc>
          <w:tcPr>
            <w:tcW w:type="dxa" w:w="2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Outil</w:t>
            </w:r>
          </w:p>
        </w:tc>
        <w:tc>
          <w:tcPr>
            <w:tcW w:type="dxa" w:w="28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Ce que ça révèle</w:t>
            </w:r>
          </w:p>
        </w:tc>
        <w:tc>
          <w:tcPr>
            <w:tcW w:type="dxa" w:w="1926"/>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Fréquence</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Trafic organique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Google Search Console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Mots-clés qui convertissent</w:t>
            </w:r>
          </w:p>
        </w:tc>
        <w:tc>
          <w:tcPr>
            <w:tcW w:type="dxa" w:w="19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Hebdo</w:t>
            </w:r>
          </w:p>
        </w:tc>
      </w:tr>
      <w:tr>
        <w:tc>
          <w:tcPr>
            <w:tcW w:type="dxa" w:w="23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Comportement page</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Microsoft Clarity</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Zones de décrochage</w:t>
            </w:r>
          </w:p>
        </w:tc>
        <w:tc>
          <w:tcPr>
            <w:tcW w:type="dxa" w:w="19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Continu</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Conversion affiliés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UTM unique par lien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Quel contenu vend</w:t>
            </w:r>
          </w:p>
        </w:tc>
        <w:tc>
          <w:tcPr>
            <w:tcW w:type="dxa" w:w="19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Par vente</w:t>
            </w:r>
          </w:p>
        </w:tc>
      </w:tr>
      <w:tr>
        <w:tc>
          <w:tcPr>
            <w:tcW w:type="dxa" w:w="23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Email performance</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Beehiiv analytics</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Sujets qui engagent</w:t>
            </w:r>
          </w:p>
        </w:tc>
        <w:tc>
          <w:tcPr>
            <w:tcW w:type="dxa" w:w="19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Par envoi</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Ventes produits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Gumroad dashboard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CA et source trafic</w:t>
            </w:r>
          </w:p>
        </w:tc>
        <w:tc>
          <w:tcPr>
            <w:tcW w:type="dxa" w:w="19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Quotidien</w:t>
            </w:r>
          </w:p>
        </w:tc>
      </w:tr>
      <w:tr>
        <w:tc>
          <w:tcPr>
            <w:tcW w:type="dxa" w:w="23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MRR abonnements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Stripe dashboard</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Croissance et churn</w:t>
            </w:r>
          </w:p>
        </w:tc>
        <w:tc>
          <w:tcPr>
            <w:tcW w:type="dxa" w:w="19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Mensuel</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Leads annuaire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N8N dashboard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Volume et qualité</w:t>
            </w:r>
          </w:p>
        </w:tc>
        <w:tc>
          <w:tcPr>
            <w:tcW w:type="dxa" w:w="19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Hebdo</w:t>
            </w:r>
          </w:p>
        </w:tc>
      </w:tr>
    </w:tbl>
    <w:p>
      <w:r>
        <w:br w:type="page"/>
      </w:r>
    </w:p>
    <w:p>
      <w:pPr>
        <w:pStyle w:val="Heading1"/>
        <w:pBdr>
          <w:bottom w:val="single" w:color="059669" w:sz="8" w:space="4"/>
        </w:pBdr>
        <w:spacing w:after="200" w:before="400"/>
      </w:pPr>
      <w:r>
        <w:rPr>
          <w:rFonts w:ascii="Arial" w:cs="Arial" w:eastAsia="Arial" w:hAnsi="Arial"/>
          <w:b/>
          <w:bCs/>
          <w:color w:val="1A3A5C"/>
          <w:sz w:val="32"/>
          <w:szCs w:val="32"/>
        </w:rPr>
        <w:t xml:space="preserve">8. Scalabilité &amp; Roadmap Future</w:t>
      </w:r>
    </w:p>
    <w:p>
      <w:pPr>
        <w:pStyle w:val="Heading2"/>
        <w:spacing w:after="140" w:before="280"/>
      </w:pPr>
      <w:r>
        <w:rPr>
          <w:rFonts w:ascii="Arial" w:cs="Arial" w:eastAsia="Arial" w:hAnsi="Arial"/>
          <w:b/>
          <w:bCs/>
          <w:color w:val="059669"/>
          <w:sz w:val="26"/>
          <w:szCs w:val="26"/>
        </w:rPr>
        <w:t xml:space="preserve">Horizon 18 mois — Internationalisation</w:t>
      </w:r>
    </w:p>
    <w:p>
      <w:pPr>
        <w:spacing w:after="120"/>
        <w:jc w:val="left"/>
      </w:pPr>
      <w:r>
        <w:rPr>
          <w:rFonts w:ascii="Arial" w:cs="Arial" w:eastAsia="Arial" w:hAnsi="Arial"/>
          <w:b w:val="false"/>
          <w:bCs w:val="false"/>
          <w:i w:val="false"/>
          <w:iCs w:val="false"/>
          <w:color w:val="1E293B"/>
          <w:sz w:val="21"/>
          <w:szCs w:val="21"/>
        </w:rPr>
        <w:t xml:space="preserve">Extension vers Belgique et Suisse francophone sans modification majeure du contenu. Adaptation des réglementations locales (la facturation électronique est une directive européenne donc largement commune). Doublement de l'audience adressable.</w:t>
      </w:r>
    </w:p>
    <w:p>
      <w:pPr>
        <w:pStyle w:val="Heading2"/>
        <w:spacing w:after="140" w:before="280"/>
      </w:pPr>
      <w:r>
        <w:rPr>
          <w:rFonts w:ascii="Arial" w:cs="Arial" w:eastAsia="Arial" w:hAnsi="Arial"/>
          <w:b/>
          <w:bCs/>
          <w:color w:val="059669"/>
          <w:sz w:val="26"/>
          <w:szCs w:val="26"/>
        </w:rPr>
        <w:t xml:space="preserve">Horizon 24 mois — Partenariat PDP Certifié</w:t>
      </w:r>
    </w:p>
    <w:p>
      <w:pPr>
        <w:spacing w:after="120"/>
        <w:jc w:val="left"/>
      </w:pPr>
      <w:r>
        <w:rPr>
          <w:rFonts w:ascii="Arial" w:cs="Arial" w:eastAsia="Arial" w:hAnsi="Arial"/>
          <w:b w:val="false"/>
          <w:bCs w:val="false"/>
          <w:i w:val="false"/>
          <w:iCs w:val="false"/>
          <w:color w:val="1E293B"/>
          <w:sz w:val="21"/>
          <w:szCs w:val="21"/>
        </w:rPr>
        <w:t xml:space="preserve">Devenir revendeur certifié d'une ou deux PDPs majeures. Les marges sont nettement supérieures à l'affiliation classique et créent une barrière à l'entrée pour les concurrents potentiels.</w:t>
      </w:r>
    </w:p>
    <w:p>
      <w:pPr>
        <w:pStyle w:val="Heading2"/>
        <w:spacing w:after="140" w:before="280"/>
      </w:pPr>
      <w:r>
        <w:rPr>
          <w:rFonts w:ascii="Arial" w:cs="Arial" w:eastAsia="Arial" w:hAnsi="Arial"/>
          <w:b/>
          <w:bCs/>
          <w:color w:val="059669"/>
          <w:sz w:val="26"/>
          <w:szCs w:val="26"/>
        </w:rPr>
        <w:t xml:space="preserve">Horizon 30 mois — Micro-SaaS Diagnostic</w:t>
      </w:r>
    </w:p>
    <w:p>
      <w:pPr>
        <w:spacing w:after="120"/>
        <w:jc w:val="left"/>
      </w:pPr>
      <w:r>
        <w:rPr>
          <w:rFonts w:ascii="Arial" w:cs="Arial" w:eastAsia="Arial" w:hAnsi="Arial"/>
          <w:b w:val="false"/>
          <w:bCs w:val="false"/>
          <w:i w:val="false"/>
          <w:iCs w:val="false"/>
          <w:color w:val="1E293B"/>
          <w:sz w:val="21"/>
          <w:szCs w:val="21"/>
        </w:rPr>
        <w:t xml:space="preserve">Avec les compétences AIS et réseau en développement, créer un outil de diagnostic automatisé : l'entreprise répond à 10 questions, l'outil génère son bilan de conformité personnalisé et ses recommandations priorisées. Modèle freemium avec upsell vers les prestataires de l'annuaire.</w:t>
      </w:r>
    </w:p>
    <w:p>
      <w:pPr>
        <w:pStyle w:val="Heading2"/>
        <w:spacing w:after="140" w:before="280"/>
      </w:pPr>
      <w:r>
        <w:rPr>
          <w:rFonts w:ascii="Arial" w:cs="Arial" w:eastAsia="Arial" w:hAnsi="Arial"/>
          <w:b/>
          <w:bCs/>
          <w:color w:val="059669"/>
          <w:sz w:val="26"/>
          <w:szCs w:val="26"/>
        </w:rPr>
        <w:t xml:space="preserve">À tout moment — Contenus Sponsorisés Premium</w:t>
      </w:r>
    </w:p>
    <w:p>
      <w:pPr>
        <w:spacing w:after="120"/>
        <w:jc w:val="left"/>
      </w:pPr>
      <w:r>
        <w:rPr>
          <w:rFonts w:ascii="Arial" w:cs="Arial" w:eastAsia="Arial" w:hAnsi="Arial"/>
          <w:b w:val="false"/>
          <w:bCs w:val="false"/>
          <w:i w:val="false"/>
          <w:iCs w:val="false"/>
          <w:color w:val="1E293B"/>
          <w:sz w:val="21"/>
          <w:szCs w:val="21"/>
        </w:rPr>
        <w:t xml:space="preserve">Dès 2000 abonnés newsletter, les éditeurs SaaS paient 2000-5000€ pour un article sponsorisé bien référencé sur Google. C'est le modèle des médias B2B spécialisés. Une seule commande couvre 2 mois de coûts.</w:t>
      </w:r>
    </w:p>
    <w:p>
      <w:r>
        <w:br w:type="page"/>
      </w:r>
    </w:p>
    <w:p>
      <w:pPr>
        <w:pStyle w:val="Heading1"/>
        <w:pBdr>
          <w:bottom w:val="single" w:color="059669" w:sz="8" w:space="4"/>
        </w:pBdr>
        <w:spacing w:after="200" w:before="400"/>
      </w:pPr>
      <w:r>
        <w:rPr>
          <w:rFonts w:ascii="Arial" w:cs="Arial" w:eastAsia="Arial" w:hAnsi="Arial"/>
          <w:b/>
          <w:bCs/>
          <w:color w:val="1A3A5C"/>
          <w:sz w:val="32"/>
          <w:szCs w:val="32"/>
        </w:rPr>
        <w:t xml:space="preserve">9.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Terme</w:t>
            </w:r>
          </w:p>
        </w:tc>
        <w:tc>
          <w:tcPr>
            <w:tcW w:type="dxa" w:w="6526"/>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Définition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PDP / PA</w:t>
            </w:r>
          </w:p>
        </w:tc>
        <w:tc>
          <w:tcPr>
            <w:tcW w:type="dxa" w:w="6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Plateforme Agréée — anciennement Plateforme de Dématérialisation Partenaire. Opérateur certifié DGFiP pour la facturation électronique B2B.</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NIS2</w:t>
            </w:r>
          </w:p>
        </w:tc>
        <w:tc>
          <w:tcPr>
            <w:tcW w:type="dxa" w:w="65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Network and Information Security directive 2 — directive européenne de cybersécurité obligatoire depuis janvier 2025.</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ANC 2025</w:t>
            </w:r>
          </w:p>
        </w:tc>
        <w:tc>
          <w:tcPr>
            <w:tcW w:type="dxa" w:w="6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Autorité des Normes Comptables — réforme du plan comptable général obligatoire depuis janvier 2025.</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RGPD</w:t>
            </w:r>
          </w:p>
        </w:tc>
        <w:tc>
          <w:tcPr>
            <w:tcW w:type="dxa" w:w="65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Règlement Général sur la Protection des Données — réglementation européenne sur la vie privée.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Affiliation</w:t>
            </w:r>
          </w:p>
        </w:tc>
        <w:tc>
          <w:tcPr>
            <w:tcW w:type="dxa" w:w="6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Commission touchée pour chaque vente générée via un lien de référence personnel.</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MRR</w:t>
            </w:r>
          </w:p>
        </w:tc>
        <w:tc>
          <w:tcPr>
            <w:tcW w:type="dxa" w:w="65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Monthly Recurring Revenue — revenus mensuels récurrents (abonnements).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Evergreen</w:t>
            </w:r>
          </w:p>
        </w:tc>
        <w:tc>
          <w:tcPr>
            <w:tcW w:type="dxa" w:w="6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Contenu ou produit qui reste pertinent dans la durée, sans mise à jour constante.</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SEO</w:t>
            </w:r>
          </w:p>
        </w:tc>
        <w:tc>
          <w:tcPr>
            <w:tcW w:type="dxa" w:w="65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Search Engine Optimization — optimisation pour les moteurs de recherche (Google).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Freemium</w:t>
            </w:r>
          </w:p>
        </w:tc>
        <w:tc>
          <w:tcPr>
            <w:tcW w:type="dxa" w:w="6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Modèle gratuit avec option payante premium.</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Factur-X / UBL / CII</w:t>
            </w:r>
          </w:p>
        </w:tc>
        <w:tc>
          <w:tcPr>
            <w:tcW w:type="dxa" w:w="65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9"/>
                <w:szCs w:val="19"/>
              </w:rPr>
              <w:t xml:space="preserve">Formats standardisés de facturation électronique structurée requis pour la conformité.</w:t>
            </w:r>
          </w:p>
        </w:tc>
      </w:tr>
    </w:tbl>
    <w:p>
      <w:pPr>
        <w:spacing w:after="200"/>
      </w:pPr>
      <w:r>
        <w:t xml:space="preserve"/>
      </w:r>
    </w:p>
    <w:p>
      <w:pPr>
        <w:jc w:val="center"/>
      </w:pPr>
      <w:r>
        <w:rPr>
          <w:rFonts w:ascii="Arial" w:cs="Arial" w:eastAsia="Arial" w:hAnsi="Arial"/>
          <w:i/>
          <w:iCs/>
          <w:color w:val="64748B"/>
          <w:sz w:val="17"/>
          <w:szCs w:val="17"/>
        </w:rPr>
        <w:t xml:space="preserve">NEXUS CONFORMITÉ · Session #1 · 27 Mars 2026 · Document confidentiel</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59669" w:sz="4" w:space="2"/>
      </w:pBdr>
      <w:tabs>
        <w:tab w:val="right" w:pos="9026"/>
      </w:tabs>
    </w:pPr>
    <w:r>
      <w:rPr>
        <w:rFonts w:ascii="Arial" w:cs="Arial" w:eastAsia="Arial" w:hAnsi="Arial"/>
        <w:color w:val="64748B"/>
        <w:sz w:val="16"/>
        <w:szCs w:val="16"/>
      </w:rPr>
      <w:t xml:space="preserve">Dow Poncelet · NEXUS CONFORMITÉ · Document confidentiel</w:t>
    </w:r>
    <w:r>
      <w:rPr>
        <w:rFonts w:ascii="Arial" w:cs="Arial" w:eastAsia="Arial" w:hAnsi="Arial"/>
        <w:sz w:val="16"/>
        <w:szCs w:val="16"/>
      </w:rPr>
      <w:t xml:space="preserv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4" w:space="2"/>
      </w:pBdr>
      <w:tabs>
        <w:tab w:val="right" w:pos="9026"/>
      </w:tabs>
    </w:pPr>
    <w:r>
      <w:rPr>
        <w:rFonts w:ascii="Arial" w:cs="Arial" w:eastAsia="Arial" w:hAnsi="Arial"/>
        <w:color w:val="64748B"/>
        <w:sz w:val="17"/>
        <w:szCs w:val="17"/>
      </w:rPr>
      <w:t xml:space="preserve">NEXUS CONFORMITÉ — Rapport de Session #1 — 27 Mars 2026</w:t>
    </w:r>
    <w:r>
      <w:rPr>
        <w:rFonts w:ascii="Arial" w:cs="Arial" w:eastAsia="Arial" w:hAnsi="Arial"/>
        <w:color w:val="64748B"/>
        <w:sz w:val="17"/>
        <w:szCs w:val="17"/>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59669"/>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2026-03-27T23:33:08.330Z</dcterms:created>
  <dcterms:modified xsi:type="dcterms:W3CDTF">2026-03-27T23:33:08.330Z</dcterms:modified>
</cp:coreProperties>
</file>

<file path=docProps/custom.xml><?xml version="1.0" encoding="utf-8"?>
<Properties xmlns="http://schemas.openxmlformats.org/officeDocument/2006/custom-properties" xmlns:vt="http://schemas.openxmlformats.org/officeDocument/2006/docPropsVTypes"/>
</file>