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14571" w:hRule="atLeast"/>
        </w:trPr>
        <w:tc>
          <w:tcPr>
            <w:tcW w:type="dxa" w:w="9412"/>
            <w:vAlign w:val="center"/>
            <w:shd w:val="clear" w:color="auto" w:fill="04150E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b/>
                <w:i w:val="0"/>
                <w:color w:val="FFFFFF"/>
                <w:sz w:val="26"/>
              </w:rPr>
              <w:t>GREEN SHIELD</w:t>
            </w:r>
          </w:p>
          <w:p>
            <w:pPr>
              <w:jc w:val="center"/>
            </w:pPr>
            <w:r>
              <w:rPr>
                <w:b w:val="0"/>
                <w:i/>
                <w:color w:val="7BF3C8"/>
                <w:sz w:val="18"/>
              </w:rPr>
              <w:t>Cabinet non renseigné</w:t>
            </w:r>
          </w:p>
          <w:p>
            <w:pPr>
              <w:spacing w:before="560"/>
              <w:jc w:val="center"/>
            </w:pPr>
            <w:r>
              <w:rPr>
                <w:b/>
                <w:i w:val="0"/>
                <w:color w:val="FFFFFF"/>
                <w:sz w:val="44"/>
              </w:rPr>
              <w:t>Accord de confidentialité</w:t>
            </w:r>
          </w:p>
          <w:p>
            <w:pPr>
              <w:spacing w:before="120"/>
              <w:jc w:val="center"/>
            </w:pPr>
            <w:r>
              <w:rPr>
                <w:b/>
                <w:i w:val="0"/>
                <w:color w:val="2EE6A0"/>
                <w:sz w:val="28"/>
              </w:rPr>
              <w:t>Vernier Composites SAS</w:t>
            </w:r>
          </w:p>
          <w:p>
            <w:pPr>
              <w:jc w:val="center"/>
            </w:pPr>
            <w:r>
              <w:rPr>
                <w:b w:val="0"/>
                <w:i w:val="0"/>
                <w:color w:val="A8C6BC"/>
                <w:sz w:val="20"/>
              </w:rPr>
              <w:t>Audit de sécurité &amp; analyse de risque EBIOS RM</w:t>
            </w:r>
          </w:p>
          <w:p>
            <w:pPr>
              <w:spacing w:before="400"/>
              <w:jc w:val="center"/>
            </w:pPr>
            <w:r>
              <w:rPr>
                <w:b w:val="0"/>
                <w:i w:val="0"/>
                <w:color w:val="8FB3A8"/>
                <w:sz w:val="17"/>
              </w:rPr>
              <w:t xml:space="preserve">Réf. mission : </w:t>
            </w:r>
            <w:r>
              <w:rPr>
                <w:b/>
                <w:i w:val="0"/>
                <w:color w:val="EAF4F0"/>
                <w:sz w:val="17"/>
              </w:rPr>
              <w:t>audit_de_securite_et_analyse_de_risque_ebios_rm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Édité le : </w:t>
            </w:r>
            <w:r>
              <w:rPr>
                <w:b/>
                <w:i w:val="0"/>
                <w:color w:val="EAF4F0"/>
                <w:sz w:val="17"/>
              </w:rPr>
              <w:t>30/07/2026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Auditeur : </w:t>
            </w:r>
            <w:r>
              <w:rPr>
                <w:b/>
                <w:i w:val="0"/>
                <w:color w:val="EAF4F0"/>
                <w:sz w:val="17"/>
              </w:rPr>
              <w:t>—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Cabinet : </w:t>
            </w:r>
            <w:r>
              <w:rPr>
                <w:b/>
                <w:i w:val="0"/>
                <w:color w:val="EAF4F0"/>
                <w:sz w:val="17"/>
              </w:rPr>
              <w:t>Cabinet non renseigné</w:t>
            </w:r>
          </w:p>
          <w:p>
            <w:pPr>
              <w:spacing w:before="360"/>
              <w:jc w:val="center"/>
            </w:pPr>
            <w:r>
              <w:rPr>
                <w:b/>
                <w:i w:val="0"/>
                <w:color w:val="7BF3C8"/>
                <w:sz w:val="16"/>
              </w:rPr>
              <w:t xml:space="preserve">  DOCUMENT CONFIDENTIEL — DIFFUSION RESTREINTE  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i w:val="0"/>
          <w:color w:val="A3243C"/>
          <w:sz w:val="18"/>
        </w:rPr>
        <w:t>CLASSIFICATION : CONFIDENTIEL AFFAIRES</w:t>
      </w:r>
    </w:p>
    <w:p>
      <w:pPr>
        <w:spacing w:after="160"/>
      </w:pPr>
      <w:r>
        <w:rPr>
          <w:b w:val="0"/>
          <w:i w:val="0"/>
          <w:color w:val="33403B"/>
          <w:sz w:val="21"/>
        </w:rPr>
        <w:t>ACCORD DE CONFIDENTIALITÉ &amp; DE NON-DIVULGATION (NDA)</w:t>
      </w:r>
    </w:p>
    <w:p>
      <w:pPr>
        <w:spacing w:after="160"/>
      </w:pPr>
      <w:r>
        <w:rPr>
          <w:b w:val="0"/>
          <w:i w:val="0"/>
          <w:color w:val="33403B"/>
          <w:sz w:val="21"/>
        </w:rPr>
        <w:t>Entre :</w:t>
      </w:r>
    </w:p>
    <w:p>
      <w:pPr>
        <w:spacing w:after="160"/>
      </w:pPr>
      <w:r>
        <w:rPr>
          <w:b w:val="0"/>
          <w:i w:val="0"/>
          <w:color w:val="33403B"/>
          <w:sz w:val="21"/>
        </w:rPr>
        <w:t>La société DP Cyber Consulting, représentée par Dorian, Consultant en Cybersécurité,</w:t>
      </w:r>
    </w:p>
    <w:p>
      <w:pPr>
        <w:spacing w:after="160"/>
      </w:pPr>
      <w:r>
        <w:rPr>
          <w:b w:val="0"/>
          <w:i w:val="0"/>
          <w:color w:val="33403B"/>
          <w:sz w:val="21"/>
        </w:rPr>
        <w:t>Et :</w:t>
      </w:r>
    </w:p>
    <w:p>
      <w:pPr>
        <w:spacing w:after="160"/>
      </w:pPr>
      <w:r>
        <w:rPr>
          <w:b w:val="0"/>
          <w:i w:val="0"/>
          <w:color w:val="33403B"/>
          <w:sz w:val="21"/>
        </w:rPr>
        <w:t>La société Vernier Composites SAS, représentée par son DSI/Représentant légal.</w:t>
      </w:r>
    </w:p>
    <w:p>
      <w:pPr>
        <w:spacing w:after="160"/>
      </w:pPr>
      <w:r>
        <w:rPr>
          <w:b w:val="0"/>
          <w:i w:val="0"/>
          <w:color w:val="33403B"/>
          <w:sz w:val="21"/>
        </w:rPr>
        <w:t>Objet : Encadrement des échanges d'informations hautement confidentielles dans le cadre de la mission d'accompagnement, d'audit de sécurité et de GRC de Vernier Composites SAS.</w:t>
      </w:r>
    </w:p>
    <w:p>
      <w:pPr>
        <w:spacing w:after="160"/>
      </w:pPr>
      <w:r>
        <w:rPr>
          <w:b w:val="0"/>
          <w:i w:val="0"/>
          <w:color w:val="33403B"/>
          <w:sz w:val="21"/>
        </w:rPr>
        <w:t>Engagements : Les parties s'engagent à ne divulguer aucun document technique, secret de fabrique, mot de passe, schéma d'architecture ou donnée personnelle sous peine de poursuites civiles et pénales.</w:t>
      </w:r>
    </w:p>
    <w:p>
      <w:pPr>
        <w:spacing w:before="400" w:after="160"/>
        <w:pBdr>
          <w:bottom w:val="single" w:sz="16" w:space="4" w:color="2EE6A0"/>
        </w:pBdr>
      </w:pPr>
      <w:r>
        <w:rPr>
          <w:b/>
          <w:i w:val="0"/>
          <w:color w:val="0C2317"/>
          <w:sz w:val="26"/>
        </w:rPr>
        <w:t>Signatures</w:t>
      </w:r>
    </w:p>
    <w:p>
      <w:pPr>
        <w:spacing w:after="120"/>
      </w:pPr>
      <w:r>
        <w:rPr>
          <w:b w:val="0"/>
          <w:i w:val="0"/>
          <w:color w:val="33403B"/>
          <w:sz w:val="19"/>
        </w:rPr>
        <w:t>En foi de quoi, les parties s'engagent et signent électroniquement ou de manière manuscrite 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Pour Cabinet non renseigné</w:t>
            </w:r>
          </w:p>
        </w:tc>
        <w:tc>
          <w:tcPr>
            <w:tcW w:type="dxa" w:w="470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Pour Vernier Composites SAS</w:t>
            </w:r>
          </w:p>
        </w:tc>
      </w:tr>
      <w:tr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Consultant, Consultant Cyber</w:t>
            </w:r>
          </w:p>
        </w:tc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Mandataire habilité</w:t>
            </w:r>
          </w:p>
        </w:tc>
      </w:tr>
      <w:tr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Signature cryptographique locale : SHA256:b74a86b53875b57c1a939c4a3399b4add2a26263c49b95e3f621b4069c7ebd63</w:t>
            </w:r>
          </w:p>
        </w:tc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Signature :</w:t>
            </w:r>
          </w:p>
        </w:tc>
      </w:tr>
      <w:tr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Date : 30/07/2026</w:t>
            </w:r>
          </w:p>
        </w:tc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Date :</w:t>
            </w:r>
          </w:p>
        </w:tc>
      </w:tr>
    </w:tbl>
    <w:p/>
    <w:sectPr w:rsidR="00FC693F" w:rsidRPr="0006063C" w:rsidSect="00034616">
      <w:footerReference w:type="default" r:id="rId10"/>
      <w:pgSz w:w="11906" w:h="16838"/>
      <w:pgMar w:top="90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33403B"/>
        <w:sz w:val="14"/>
      </w:rPr>
      <w:t>GREEN SHIELD — Cabinet non renseigné · Document confidentiel, ne pas diffuser sans autorisation écrite.</w:t>
    </w:r>
  </w:p>
  <w:p>
    <w:pPr>
      <w:jc w:val="center"/>
    </w:pPr>
    <w:r>
      <w:rPr>
        <w:b w:val="0"/>
        <w:i w:val="0"/>
        <w:color w:val="33403B"/>
        <w:sz w:val="13"/>
      </w:rPr>
      <w:t>Empreinte SHA-256 de l'état de la mission à l'édition : b74a86b53875b57c1a939c4a3399b4add2a26263c49b95e3f621b4069c7ebd63</w:t>
    </w:r>
  </w:p>
  <w:p>
    <w:pPr>
      <w:jc w:val="center"/>
    </w:pPr>
    <w:r>
      <w:rPr>
        <w:b w:val="0"/>
        <w:i/>
        <w:color w:val="33403B"/>
        <w:sz w:val="13"/>
      </w:rPr>
      <w:t>Toute modification ultérieure de la mission, même rétablie, produit une empreinte différente.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0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