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12"/>
      </w:tblGrid>
      <w:tr>
        <w:trPr>
          <w:trHeight w:val="14571" w:hRule="atLeast"/>
        </w:trPr>
        <w:tc>
          <w:tcPr>
            <w:tcW w:type="dxa" w:w="9412"/>
            <w:vAlign w:val="center"/>
            <w:shd w:val="clear" w:color="auto" w:fill="04150E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84000" cy="684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4000" cy="68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/>
              <w:jc w:val="center"/>
            </w:pPr>
            <w:r>
              <w:rPr>
                <w:b/>
                <w:i w:val="0"/>
                <w:color w:val="FFFFFF"/>
                <w:sz w:val="26"/>
              </w:rPr>
              <w:t>GREEN SHIELD</w:t>
            </w:r>
          </w:p>
          <w:p>
            <w:pPr>
              <w:jc w:val="center"/>
            </w:pPr>
            <w:r>
              <w:rPr>
                <w:b w:val="0"/>
                <w:i/>
                <w:color w:val="7BF3C8"/>
                <w:sz w:val="18"/>
              </w:rPr>
              <w:t>Cabinet non renseigné</w:t>
            </w:r>
          </w:p>
          <w:p>
            <w:pPr>
              <w:spacing w:before="560"/>
              <w:jc w:val="center"/>
            </w:pPr>
            <w:r>
              <w:rPr>
                <w:b/>
                <w:i w:val="0"/>
                <w:color w:val="FFFFFF"/>
                <w:sz w:val="44"/>
              </w:rPr>
              <w:t>Analyse de risques cyber (orientation EBIOS RM)</w:t>
            </w:r>
          </w:p>
          <w:p>
            <w:pPr>
              <w:spacing w:before="120"/>
              <w:jc w:val="center"/>
            </w:pPr>
            <w:r>
              <w:rPr>
                <w:b/>
                <w:i w:val="0"/>
                <w:color w:val="2EE6A0"/>
                <w:sz w:val="28"/>
              </w:rPr>
              <w:t>Vernier Composites SAS</w:t>
            </w:r>
          </w:p>
          <w:p>
            <w:pPr>
              <w:jc w:val="center"/>
            </w:pPr>
            <w:r>
              <w:rPr>
                <w:b w:val="0"/>
                <w:i w:val="0"/>
                <w:color w:val="A8C6BC"/>
                <w:sz w:val="20"/>
              </w:rPr>
              <w:t>Audit de sécurité &amp; analyse de risque EBIOS RM</w:t>
            </w:r>
          </w:p>
          <w:p>
            <w:pPr>
              <w:spacing w:before="400"/>
              <w:jc w:val="center"/>
            </w:pPr>
            <w:r>
              <w:rPr>
                <w:b w:val="0"/>
                <w:i w:val="0"/>
                <w:color w:val="8FB3A8"/>
                <w:sz w:val="17"/>
              </w:rPr>
              <w:t xml:space="preserve">Réf. mission : </w:t>
            </w:r>
            <w:r>
              <w:rPr>
                <w:b/>
                <w:i w:val="0"/>
                <w:color w:val="EAF4F0"/>
                <w:sz w:val="17"/>
              </w:rPr>
              <w:t>audit_de_securite_et_analyse_de_risque_ebios_rm</w:t>
            </w:r>
            <w:r>
              <w:rPr>
                <w:color w:val="3E5A50"/>
              </w:rPr>
              <w:t xml:space="preserve">    ·    </w:t>
            </w:r>
            <w:r>
              <w:rPr>
                <w:b w:val="0"/>
                <w:i w:val="0"/>
                <w:color w:val="8FB3A8"/>
                <w:sz w:val="17"/>
              </w:rPr>
              <w:t xml:space="preserve">Méthode : </w:t>
            </w:r>
            <w:r>
              <w:rPr>
                <w:b/>
                <w:i w:val="0"/>
                <w:color w:val="EAF4F0"/>
                <w:sz w:val="17"/>
              </w:rPr>
              <w:t>EBIOS RM · ANSSI</w:t>
            </w:r>
            <w:r>
              <w:rPr>
                <w:color w:val="3E5A50"/>
              </w:rPr>
              <w:t xml:space="preserve">    ·    </w:t>
            </w:r>
            <w:r>
              <w:rPr>
                <w:b w:val="0"/>
                <w:i w:val="0"/>
                <w:color w:val="8FB3A8"/>
                <w:sz w:val="17"/>
              </w:rPr>
              <w:t xml:space="preserve">Auditeur : </w:t>
            </w:r>
            <w:r>
              <w:rPr>
                <w:b/>
                <w:i w:val="0"/>
                <w:color w:val="EAF4F0"/>
                <w:sz w:val="17"/>
              </w:rPr>
              <w:t>—</w:t>
            </w:r>
            <w:r>
              <w:rPr>
                <w:color w:val="3E5A50"/>
              </w:rPr>
              <w:t xml:space="preserve">    ·    </w:t>
            </w:r>
            <w:r>
              <w:rPr>
                <w:b w:val="0"/>
                <w:i w:val="0"/>
                <w:color w:val="8FB3A8"/>
                <w:sz w:val="17"/>
              </w:rPr>
              <w:t xml:space="preserve">Cabinet : </w:t>
            </w:r>
            <w:r>
              <w:rPr>
                <w:b/>
                <w:i w:val="0"/>
                <w:color w:val="EAF4F0"/>
                <w:sz w:val="17"/>
              </w:rPr>
              <w:t>Cabinet non renseigné</w:t>
            </w:r>
            <w:r>
              <w:rPr>
                <w:color w:val="3E5A50"/>
              </w:rPr>
              <w:t xml:space="preserve">    ·    </w:t>
            </w:r>
            <w:r>
              <w:rPr>
                <w:b w:val="0"/>
                <w:i w:val="0"/>
                <w:color w:val="8FB3A8"/>
                <w:sz w:val="17"/>
              </w:rPr>
              <w:t xml:space="preserve">Édité le : </w:t>
            </w:r>
            <w:r>
              <w:rPr>
                <w:b/>
                <w:i w:val="0"/>
                <w:color w:val="EAF4F0"/>
                <w:sz w:val="17"/>
              </w:rPr>
              <w:t>30/07/2026</w:t>
            </w:r>
          </w:p>
          <w:p>
            <w:pPr>
              <w:spacing w:before="360"/>
              <w:jc w:val="center"/>
            </w:pPr>
            <w:r>
              <w:rPr>
                <w:b/>
                <w:i w:val="0"/>
                <w:color w:val="7BF3C8"/>
                <w:sz w:val="16"/>
              </w:rPr>
              <w:t xml:space="preserve">  DOCUMENT CONFIDENTIEL — DIFFUSION RESTREINTE  </w:t>
            </w:r>
          </w:p>
        </w:tc>
      </w:tr>
    </w:tbl>
    <w:p>
      <w:r>
        <w:br w:type="page"/>
      </w:r>
    </w:p>
    <w:p>
      <w:pPr>
        <w:spacing w:after="160"/>
      </w:pPr>
      <w:r>
        <w:rPr>
          <w:b/>
          <w:i w:val="0"/>
          <w:color w:val="0C2317"/>
          <w:sz w:val="26"/>
        </w:rPr>
        <w:t>Sommaire</w:t>
      </w:r>
    </w:p>
    <w:p>
      <w:pPr>
        <w:spacing w:after="40"/>
      </w:pPr>
      <w:r>
        <w:rPr>
          <w:b w:val="0"/>
          <w:i w:val="0"/>
          <w:color w:val="2EE6A0"/>
          <w:sz w:val="20"/>
        </w:rPr>
        <w:t xml:space="preserve">1.  </w:t>
      </w:r>
      <w:r>
        <w:rPr>
          <w:b w:val="0"/>
          <w:i w:val="0"/>
          <w:color w:val="33403B"/>
          <w:sz w:val="20"/>
        </w:rPr>
        <w:t>Cadrage et identification du patrimoine</w:t>
      </w:r>
    </w:p>
    <w:p>
      <w:pPr>
        <w:spacing w:after="40"/>
      </w:pPr>
      <w:r>
        <w:rPr>
          <w:b w:val="0"/>
          <w:i w:val="0"/>
          <w:color w:val="2EE6A0"/>
          <w:sz w:val="20"/>
        </w:rPr>
        <w:t xml:space="preserve">2.  </w:t>
      </w:r>
      <w:r>
        <w:rPr>
          <w:b w:val="0"/>
          <w:i w:val="0"/>
          <w:color w:val="33403B"/>
          <w:sz w:val="20"/>
        </w:rPr>
        <w:t>Cartographie des menaces &amp; scénarios EBIOS RM</w:t>
      </w:r>
    </w:p>
    <w:p>
      <w:pPr>
        <w:spacing w:after="40"/>
      </w:pPr>
      <w:r>
        <w:rPr>
          <w:b w:val="0"/>
          <w:i w:val="0"/>
          <w:color w:val="2EE6A0"/>
          <w:sz w:val="20"/>
        </w:rPr>
        <w:t xml:space="preserve">3.  </w:t>
      </w:r>
      <w:r>
        <w:rPr>
          <w:b w:val="0"/>
          <w:i w:val="0"/>
          <w:color w:val="33403B"/>
          <w:sz w:val="20"/>
        </w:rPr>
        <w:t>Écosystème et risques tiers</w:t>
      </w:r>
    </w:p>
    <w:p>
      <w:pPr>
        <w:spacing w:after="40"/>
      </w:pPr>
      <w:r>
        <w:rPr>
          <w:b w:val="0"/>
          <w:i w:val="0"/>
          <w:color w:val="2EE6A0"/>
          <w:sz w:val="20"/>
        </w:rPr>
        <w:t xml:space="preserve">4.  </w:t>
      </w:r>
      <w:r>
        <w:rPr>
          <w:b w:val="0"/>
          <w:i w:val="0"/>
          <w:color w:val="33403B"/>
          <w:sz w:val="20"/>
        </w:rPr>
        <w:t>Plan d'action &amp; traitement</w:t>
      </w:r>
    </w:p>
    <w:p>
      <w:r>
        <w:br w:type="page"/>
      </w:r>
    </w:p>
    <w:p>
      <w:pPr>
        <w:spacing w:before="80" w:after="160"/>
        <w:pBdr>
          <w:bottom w:val="single" w:sz="16" w:space="4" w:color="2EE6A0"/>
        </w:pBdr>
      </w:pPr>
      <w:r>
        <w:rPr>
          <w:b/>
          <w:i w:val="0"/>
          <w:color w:val="2EE6A0"/>
          <w:sz w:val="28"/>
        </w:rPr>
        <w:t xml:space="preserve">1. </w:t>
      </w:r>
      <w:r>
        <w:rPr>
          <w:b/>
          <w:i w:val="0"/>
          <w:color w:val="0C2317"/>
          <w:sz w:val="28"/>
        </w:rPr>
        <w:t>Cadrage et identification du patrimoine</w:t>
      </w:r>
    </w:p>
    <w:p>
      <w:pPr>
        <w:spacing w:after="120"/>
      </w:pPr>
      <w:r>
        <w:rPr>
          <w:b w:val="0"/>
          <w:i w:val="0"/>
          <w:color w:val="33403B"/>
          <w:sz w:val="20"/>
        </w:rPr>
        <w:t>Ce chapitre identifie le périmètre d'évaluation, les missions fondamentales de l'entreprise et cartographie le patrimoine d'actifs.</w:t>
      </w:r>
    </w:p>
    <w:p>
      <w:pPr>
        <w:spacing w:before="200" w:after="40"/>
      </w:pPr>
      <w:r>
        <w:rPr>
          <w:b/>
          <w:i w:val="0"/>
          <w:color w:val="0C2317"/>
          <w:sz w:val="21"/>
        </w:rPr>
        <w:t>1.1 Valeurs métier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98"/>
        <w:gridCol w:w="2282"/>
        <w:gridCol w:w="4278"/>
        <w:gridCol w:w="1854"/>
      </w:tblGrid>
      <w:tr>
        <w:tc>
          <w:tcPr>
            <w:tcW w:type="dxa" w:w="998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ID</w:t>
            </w:r>
          </w:p>
        </w:tc>
        <w:tc>
          <w:tcPr>
            <w:tcW w:type="dxa" w:w="2282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Valeur métier</w:t>
            </w:r>
          </w:p>
        </w:tc>
        <w:tc>
          <w:tcPr>
            <w:tcW w:type="dxa" w:w="4278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Description</w:t>
            </w:r>
          </w:p>
        </w:tc>
        <w:tc>
          <w:tcPr>
            <w:tcW w:type="dxa" w:w="1854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Données personnelles</w:t>
            </w:r>
          </w:p>
        </w:tc>
      </w:tr>
      <w:tr>
        <w:tc>
          <w:tcPr>
            <w:tcW w:type="dxa" w:w="998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VM-01</w:t>
            </w:r>
          </w:p>
        </w:tc>
        <w:tc>
          <w:tcPr>
            <w:tcW w:type="dxa" w:w="2282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Formulations et procédés composites (R&amp;D)</w:t>
            </w:r>
          </w:p>
        </w:tc>
        <w:tc>
          <w:tcPr>
            <w:tcW w:type="dxa" w:w="4278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Recettes matières, courbes de cuisson, résultats d'essais destructifs. Actif le plus sensible de l'entreprise, non brevetable en l'état.</w:t>
            </w:r>
          </w:p>
        </w:tc>
        <w:tc>
          <w:tcPr>
            <w:tcW w:type="dxa" w:w="1854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Non</w:t>
            </w:r>
          </w:p>
        </w:tc>
      </w:tr>
      <w:tr>
        <w:tc>
          <w:tcPr>
            <w:tcW w:type="dxa" w:w="998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VM-02</w:t>
            </w:r>
          </w:p>
        </w:tc>
        <w:tc>
          <w:tcPr>
            <w:tcW w:type="dxa" w:w="2282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Dossiers de qualification client</w:t>
            </w:r>
          </w:p>
        </w:tc>
        <w:tc>
          <w:tcPr>
            <w:tcW w:type="dxa" w:w="4278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Preuves de conformité aéronautique par lot, exigées lors des audits clients.</w:t>
            </w:r>
          </w:p>
        </w:tc>
        <w:tc>
          <w:tcPr>
            <w:tcW w:type="dxa" w:w="1854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Non</w:t>
            </w:r>
          </w:p>
        </w:tc>
      </w:tr>
      <w:tr>
        <w:tc>
          <w:tcPr>
            <w:tcW w:type="dxa" w:w="998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VM-03</w:t>
            </w:r>
          </w:p>
        </w:tc>
        <w:tc>
          <w:tcPr>
            <w:tcW w:type="dxa" w:w="2282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Données RH et paie</w:t>
            </w:r>
          </w:p>
        </w:tc>
        <w:tc>
          <w:tcPr>
            <w:tcW w:type="dxa" w:w="4278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Contrats, bulletins, données de santé au travail des 204 salariés.</w:t>
            </w:r>
          </w:p>
        </w:tc>
        <w:tc>
          <w:tcPr>
            <w:tcW w:type="dxa" w:w="1854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Oui</w:t>
            </w:r>
          </w:p>
        </w:tc>
      </w:tr>
      <w:tr>
        <w:tc>
          <w:tcPr>
            <w:tcW w:type="dxa" w:w="998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VM-04</w:t>
            </w:r>
          </w:p>
        </w:tc>
        <w:tc>
          <w:tcPr>
            <w:tcW w:type="dxa" w:w="2282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Continuité de la ligne de production</w:t>
            </w:r>
          </w:p>
        </w:tc>
        <w:tc>
          <w:tcPr>
            <w:tcW w:type="dxa" w:w="4278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Disponibilité des automates et du MES pilotant les 4 fours de cuisson.</w:t>
            </w:r>
          </w:p>
        </w:tc>
        <w:tc>
          <w:tcPr>
            <w:tcW w:type="dxa" w:w="1854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Non</w:t>
            </w:r>
          </w:p>
        </w:tc>
      </w:tr>
    </w:tbl>
    <w:p/>
    <w:p>
      <w:pPr>
        <w:spacing w:before="200" w:after="40"/>
      </w:pPr>
      <w:r>
        <w:rPr>
          <w:b/>
          <w:i w:val="0"/>
          <w:color w:val="0C2317"/>
          <w:sz w:val="21"/>
        </w:rPr>
        <w:t>1.2 Biens supports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03"/>
        <w:gridCol w:w="2063"/>
        <w:gridCol w:w="1289"/>
        <w:gridCol w:w="3352"/>
        <w:gridCol w:w="1805"/>
      </w:tblGrid>
      <w:tr>
        <w:tc>
          <w:tcPr>
            <w:tcW w:type="dxa" w:w="903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ID</w:t>
            </w:r>
          </w:p>
        </w:tc>
        <w:tc>
          <w:tcPr>
            <w:tcW w:type="dxa" w:w="2063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Bien support</w:t>
            </w:r>
          </w:p>
        </w:tc>
        <w:tc>
          <w:tcPr>
            <w:tcW w:type="dxa" w:w="1289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Type</w:t>
            </w:r>
          </w:p>
        </w:tc>
        <w:tc>
          <w:tcPr>
            <w:tcW w:type="dxa" w:w="3352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Description</w:t>
            </w:r>
          </w:p>
        </w:tc>
        <w:tc>
          <w:tcPr>
            <w:tcW w:type="dxa" w:w="1805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Responsable</w:t>
            </w:r>
          </w:p>
        </w:tc>
      </w:tr>
      <w:tr>
        <w:tc>
          <w:tcPr>
            <w:tcW w:type="dxa" w:w="903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BS-01</w:t>
            </w:r>
          </w:p>
        </w:tc>
        <w:tc>
          <w:tcPr>
            <w:tcW w:type="dxa" w:w="2063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Active Directory (2 contrôleurs de domaine)</w:t>
            </w:r>
          </w:p>
        </w:tc>
        <w:tc>
          <w:tcPr>
            <w:tcW w:type="dxa" w:w="1289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Logiciel</w:t>
            </w:r>
          </w:p>
        </w:tc>
        <w:tc>
          <w:tcPr>
            <w:tcW w:type="dxa" w:w="3352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Annuaire unique, forêt à domaine unique, niveau fonctionnel 2016.</w:t>
            </w:r>
          </w:p>
        </w:tc>
        <w:tc>
          <w:tcPr>
            <w:tcW w:type="dxa" w:w="1805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Responsable Infrastructure</w:t>
            </w:r>
          </w:p>
        </w:tc>
      </w:tr>
      <w:tr>
        <w:tc>
          <w:tcPr>
            <w:tcW w:type="dxa" w:w="903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BS-02</w:t>
            </w:r>
          </w:p>
        </w:tc>
        <w:tc>
          <w:tcPr>
            <w:tcW w:type="dxa" w:w="2063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Serveur de fichiers R&amp;D (NAS)</w:t>
            </w:r>
          </w:p>
        </w:tc>
        <w:tc>
          <w:tcPr>
            <w:tcW w:type="dxa" w:w="1289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Matériel</w:t>
            </w:r>
          </w:p>
        </w:tc>
        <w:tc>
          <w:tcPr>
            <w:tcW w:type="dxa" w:w="3352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Stocke les formulations. Partage SMB, pas de chiffrement au repos.</w:t>
            </w:r>
          </w:p>
        </w:tc>
        <w:tc>
          <w:tcPr>
            <w:tcW w:type="dxa" w:w="1805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Responsable R&amp;D</w:t>
            </w:r>
          </w:p>
        </w:tc>
      </w:tr>
      <w:tr>
        <w:tc>
          <w:tcPr>
            <w:tcW w:type="dxa" w:w="903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BS-03</w:t>
            </w:r>
          </w:p>
        </w:tc>
        <w:tc>
          <w:tcPr>
            <w:tcW w:type="dxa" w:w="2063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MES et automates de cuisson</w:t>
            </w:r>
          </w:p>
        </w:tc>
        <w:tc>
          <w:tcPr>
            <w:tcW w:type="dxa" w:w="1289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Matériel</w:t>
            </w:r>
          </w:p>
        </w:tc>
        <w:tc>
          <w:tcPr>
            <w:tcW w:type="dxa" w:w="3352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Réseau OT à plat, non segmenté du réseau bureautique.</w:t>
            </w:r>
          </w:p>
        </w:tc>
        <w:tc>
          <w:tcPr>
            <w:tcW w:type="dxa" w:w="1805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Responsable Production</w:t>
            </w:r>
          </w:p>
        </w:tc>
      </w:tr>
      <w:tr>
        <w:tc>
          <w:tcPr>
            <w:tcW w:type="dxa" w:w="903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BS-04</w:t>
            </w:r>
          </w:p>
        </w:tc>
        <w:tc>
          <w:tcPr>
            <w:tcW w:type="dxa" w:w="2063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Postes de travail (168 postes Windows 11)</w:t>
            </w:r>
          </w:p>
        </w:tc>
        <w:tc>
          <w:tcPr>
            <w:tcW w:type="dxa" w:w="1289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Matériel</w:t>
            </w:r>
          </w:p>
        </w:tc>
        <w:tc>
          <w:tcPr>
            <w:tcW w:type="dxa" w:w="3352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Parc géré par GPO, sans EDR à ce jour.</w:t>
            </w:r>
          </w:p>
        </w:tc>
        <w:tc>
          <w:tcPr>
            <w:tcW w:type="dxa" w:w="1805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Support IT</w:t>
            </w:r>
          </w:p>
        </w:tc>
      </w:tr>
      <w:tr>
        <w:tc>
          <w:tcPr>
            <w:tcW w:type="dxa" w:w="903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BS-05</w:t>
            </w:r>
          </w:p>
        </w:tc>
        <w:tc>
          <w:tcPr>
            <w:tcW w:type="dxa" w:w="2063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Messagerie Microsoft 365</w:t>
            </w:r>
          </w:p>
        </w:tc>
        <w:tc>
          <w:tcPr>
            <w:tcW w:type="dxa" w:w="1289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Logiciel</w:t>
            </w:r>
          </w:p>
        </w:tc>
        <w:tc>
          <w:tcPr>
            <w:tcW w:type="dxa" w:w="3352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Tenant unique, MFA activé pour les seuls administrateurs.</w:t>
            </w:r>
          </w:p>
        </w:tc>
        <w:tc>
          <w:tcPr>
            <w:tcW w:type="dxa" w:w="1805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Responsable Infrastructure</w:t>
            </w:r>
          </w:p>
        </w:tc>
      </w:tr>
      <w:tr>
        <w:tc>
          <w:tcPr>
            <w:tcW w:type="dxa" w:w="903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BS-06</w:t>
            </w:r>
          </w:p>
        </w:tc>
        <w:tc>
          <w:tcPr>
            <w:tcW w:type="dxa" w:w="2063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Sauvegardes Veeam sur NAS secondaire</w:t>
            </w:r>
          </w:p>
        </w:tc>
        <w:tc>
          <w:tcPr>
            <w:tcW w:type="dxa" w:w="1289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Matériel</w:t>
            </w:r>
          </w:p>
        </w:tc>
        <w:tc>
          <w:tcPr>
            <w:tcW w:type="dxa" w:w="3352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Sauvegarde quotidienne, même VLAN que la production, pas de copie hors site.</w:t>
            </w:r>
          </w:p>
        </w:tc>
        <w:tc>
          <w:tcPr>
            <w:tcW w:type="dxa" w:w="1805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Responsable Infrastructure</w:t>
            </w:r>
          </w:p>
        </w:tc>
      </w:tr>
    </w:tbl>
    <w:p/>
    <w:p>
      <w:pPr>
        <w:spacing w:before="400" w:after="160"/>
        <w:pBdr>
          <w:bottom w:val="single" w:sz="16" w:space="4" w:color="2EE6A0"/>
        </w:pBdr>
      </w:pPr>
      <w:r>
        <w:rPr>
          <w:b/>
          <w:i w:val="0"/>
          <w:color w:val="2EE6A0"/>
          <w:sz w:val="28"/>
        </w:rPr>
        <w:t xml:space="preserve">2. </w:t>
      </w:r>
      <w:r>
        <w:rPr>
          <w:b/>
          <w:i w:val="0"/>
          <w:color w:val="0C2317"/>
          <w:sz w:val="28"/>
        </w:rPr>
        <w:t>Cartographie des menaces &amp; scénarios EBIOS RM</w:t>
      </w:r>
    </w:p>
    <w:p>
      <w:pPr>
        <w:spacing w:before="200" w:after="40"/>
      </w:pPr>
      <w:r>
        <w:rPr>
          <w:b/>
          <w:i w:val="0"/>
          <w:color w:val="0C2317"/>
          <w:sz w:val="21"/>
        </w:rPr>
        <w:t>2.1 Événements redoutés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098"/>
        <w:gridCol w:w="3137"/>
        <w:gridCol w:w="1255"/>
        <w:gridCol w:w="3922"/>
      </w:tblGrid>
      <w:tr>
        <w:tc>
          <w:tcPr>
            <w:tcW w:type="dxa" w:w="1098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ID</w:t>
            </w:r>
          </w:p>
        </w:tc>
        <w:tc>
          <w:tcPr>
            <w:tcW w:type="dxa" w:w="3137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Événement redouté</w:t>
            </w:r>
          </w:p>
        </w:tc>
        <w:tc>
          <w:tcPr>
            <w:tcW w:type="dxa" w:w="1255"/>
            <w:shd w:val="clear" w:color="auto" w:fill="F2FBF7"/>
            <w:tcBorders>
              <w:bottom w:val="single" w:sz="6" w:space="0" w:color="C9DBD3"/>
            </w:tcBorders>
          </w:tcPr>
          <w:p>
            <w:pPr>
              <w:jc w:val="right"/>
            </w:pPr>
            <w:r>
              <w:rPr>
                <w:b/>
                <w:i w:val="0"/>
                <w:color w:val="0C2317"/>
                <w:sz w:val="16"/>
              </w:rPr>
              <w:t>Gravité</w:t>
            </w:r>
          </w:p>
        </w:tc>
        <w:tc>
          <w:tcPr>
            <w:tcW w:type="dxa" w:w="3922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Impacts</w:t>
            </w:r>
          </w:p>
        </w:tc>
      </w:tr>
      <w:tr>
        <w:tc>
          <w:tcPr>
            <w:tcW w:type="dxa" w:w="1098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ER-01</w:t>
            </w:r>
          </w:p>
        </w:tc>
        <w:tc>
          <w:tcPr>
            <w:tcW w:type="dxa" w:w="3137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Chiffrement du SI de production par rançongiciel</w:t>
            </w:r>
          </w:p>
        </w:tc>
        <w:tc>
          <w:tcPr>
            <w:tcW w:type="dxa" w:w="1255"/>
            <w:tcBorders>
              <w:bottom w:val="single" w:sz="4" w:space="0" w:color="DFE7E3"/>
            </w:tcBorders>
          </w:tcPr>
          <w:p>
            <w:pPr>
              <w:jc w:val="right"/>
            </w:pPr>
            <w:r>
              <w:rPr>
                <w:b w:val="0"/>
                <w:i w:val="0"/>
                <w:color w:val="33403B"/>
                <w:sz w:val="18"/>
              </w:rPr>
              <w:t>4/4</w:t>
            </w:r>
          </w:p>
        </w:tc>
        <w:tc>
          <w:tcPr>
            <w:tcW w:type="dxa" w:w="3922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Arrêt des 4 fours de cuisson, 38 k€/jour ouvré, pénalités de retard contractuelles au-delà de 5 jours.</w:t>
            </w:r>
          </w:p>
        </w:tc>
      </w:tr>
      <w:tr>
        <w:tc>
          <w:tcPr>
            <w:tcW w:type="dxa" w:w="1098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ER-02</w:t>
            </w:r>
          </w:p>
        </w:tc>
        <w:tc>
          <w:tcPr>
            <w:tcW w:type="dxa" w:w="3137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Exfiltration des formulations composites</w:t>
            </w:r>
          </w:p>
        </w:tc>
        <w:tc>
          <w:tcPr>
            <w:tcW w:type="dxa" w:w="1255"/>
            <w:tcBorders>
              <w:bottom w:val="single" w:sz="4" w:space="0" w:color="DFE7E3"/>
            </w:tcBorders>
          </w:tcPr>
          <w:p>
            <w:pPr>
              <w:jc w:val="right"/>
            </w:pPr>
            <w:r>
              <w:rPr>
                <w:b w:val="0"/>
                <w:i w:val="0"/>
                <w:color w:val="33403B"/>
                <w:sz w:val="18"/>
              </w:rPr>
              <w:t>4/4</w:t>
            </w:r>
          </w:p>
        </w:tc>
        <w:tc>
          <w:tcPr>
            <w:tcW w:type="dxa" w:w="3922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Perte définitive de l'avantage concurrentiel : les formulations ne sont pas brevetées et leur valeur repose entièrement sur le secret.</w:t>
            </w:r>
          </w:p>
        </w:tc>
      </w:tr>
      <w:tr>
        <w:tc>
          <w:tcPr>
            <w:tcW w:type="dxa" w:w="1098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ER-03</w:t>
            </w:r>
          </w:p>
        </w:tc>
        <w:tc>
          <w:tcPr>
            <w:tcW w:type="dxa" w:w="3137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Falsification d'un dossier de qualification client</w:t>
            </w:r>
          </w:p>
        </w:tc>
        <w:tc>
          <w:tcPr>
            <w:tcW w:type="dxa" w:w="1255"/>
            <w:tcBorders>
              <w:bottom w:val="single" w:sz="4" w:space="0" w:color="DFE7E3"/>
            </w:tcBorders>
          </w:tcPr>
          <w:p>
            <w:pPr>
              <w:jc w:val="right"/>
            </w:pPr>
            <w:r>
              <w:rPr>
                <w:b w:val="0"/>
                <w:i w:val="0"/>
                <w:color w:val="33403B"/>
                <w:sz w:val="18"/>
              </w:rPr>
              <w:t>3/4</w:t>
            </w:r>
          </w:p>
        </w:tc>
        <w:tc>
          <w:tcPr>
            <w:tcW w:type="dxa" w:w="3922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Perte de la qualification aéronautique, exclusion de la chaîne d'approvisionnement du donneur d'ordre.</w:t>
            </w:r>
          </w:p>
        </w:tc>
      </w:tr>
      <w:tr>
        <w:tc>
          <w:tcPr>
            <w:tcW w:type="dxa" w:w="1098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ER-04</w:t>
            </w:r>
          </w:p>
        </w:tc>
        <w:tc>
          <w:tcPr>
            <w:tcW w:type="dxa" w:w="3137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Divulgation des données de santé au travail</w:t>
            </w:r>
          </w:p>
        </w:tc>
        <w:tc>
          <w:tcPr>
            <w:tcW w:type="dxa" w:w="1255"/>
            <w:tcBorders>
              <w:bottom w:val="single" w:sz="4" w:space="0" w:color="DFE7E3"/>
            </w:tcBorders>
          </w:tcPr>
          <w:p>
            <w:pPr>
              <w:jc w:val="right"/>
            </w:pPr>
            <w:r>
              <w:rPr>
                <w:b w:val="0"/>
                <w:i w:val="0"/>
                <w:color w:val="33403B"/>
                <w:sz w:val="18"/>
              </w:rPr>
              <w:t>3/4</w:t>
            </w:r>
          </w:p>
        </w:tc>
        <w:tc>
          <w:tcPr>
            <w:tcW w:type="dxa" w:w="3922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Atteinte grave à la vie privée de salariés identifiables, sanction CNIL, conflit social.</w:t>
            </w:r>
          </w:p>
        </w:tc>
      </w:tr>
    </w:tbl>
    <w:p/>
    <w:p>
      <w:pPr>
        <w:spacing w:before="200" w:after="40"/>
      </w:pPr>
      <w:r>
        <w:rPr>
          <w:b/>
          <w:i w:val="0"/>
          <w:color w:val="0C2317"/>
          <w:sz w:val="21"/>
        </w:rPr>
        <w:t>2.2 Sources de risque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402"/>
        <w:gridCol w:w="4005"/>
        <w:gridCol w:w="4005"/>
      </w:tblGrid>
      <w:tr>
        <w:tc>
          <w:tcPr>
            <w:tcW w:type="dxa" w:w="1402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ID</w:t>
            </w:r>
          </w:p>
        </w:tc>
        <w:tc>
          <w:tcPr>
            <w:tcW w:type="dxa" w:w="4005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Source de risque</w:t>
            </w:r>
          </w:p>
        </w:tc>
        <w:tc>
          <w:tcPr>
            <w:tcW w:type="dxa" w:w="4005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Objectif visé</w:t>
            </w:r>
          </w:p>
        </w:tc>
      </w:tr>
      <w:tr>
        <w:tc>
          <w:tcPr>
            <w:tcW w:type="dxa" w:w="1402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SR-01</w:t>
            </w:r>
          </w:p>
        </w:tc>
        <w:tc>
          <w:tcPr>
            <w:tcW w:type="dxa" w:w="4005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Groupe cybercriminel opérant en rançongiciel-as-a-service</w:t>
            </w:r>
          </w:p>
        </w:tc>
        <w:tc>
          <w:tcPr>
            <w:tcW w:type="dxa" w:w="4005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Extorsion par double peine : chiffrement puis menace de publication.</w:t>
            </w:r>
          </w:p>
        </w:tc>
      </w:tr>
      <w:tr>
        <w:tc>
          <w:tcPr>
            <w:tcW w:type="dxa" w:w="1402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SR-02</w:t>
            </w:r>
          </w:p>
        </w:tc>
        <w:tc>
          <w:tcPr>
            <w:tcW w:type="dxa" w:w="4005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Concurrent étranger via prestataire de maintenance</w:t>
            </w:r>
          </w:p>
        </w:tc>
        <w:tc>
          <w:tcPr>
            <w:tcW w:type="dxa" w:w="4005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Captation des formulations pour combler un retard technologique.</w:t>
            </w:r>
          </w:p>
        </w:tc>
      </w:tr>
      <w:tr>
        <w:tc>
          <w:tcPr>
            <w:tcW w:type="dxa" w:w="1402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SR-03</w:t>
            </w:r>
          </w:p>
        </w:tc>
        <w:tc>
          <w:tcPr>
            <w:tcW w:type="dxa" w:w="4005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Salarié en partance vers un concurrent</w:t>
            </w:r>
          </w:p>
        </w:tc>
        <w:tc>
          <w:tcPr>
            <w:tcW w:type="dxa" w:w="4005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Emport de dossiers R&amp;D à des fins d'embauche.</w:t>
            </w:r>
          </w:p>
        </w:tc>
      </w:tr>
    </w:tbl>
    <w:p/>
    <w:p>
      <w:pPr>
        <w:spacing w:before="200" w:after="40"/>
      </w:pPr>
      <w:r>
        <w:rPr>
          <w:b/>
          <w:i w:val="0"/>
          <w:color w:val="0C2317"/>
          <w:sz w:val="21"/>
        </w:rPr>
        <w:t>2.3 Scénarios opérationnels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41"/>
        <w:gridCol w:w="3496"/>
        <w:gridCol w:w="740"/>
        <w:gridCol w:w="740"/>
        <w:gridCol w:w="3496"/>
      </w:tblGrid>
      <w:tr>
        <w:tc>
          <w:tcPr>
            <w:tcW w:type="dxa" w:w="941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ID</w:t>
            </w:r>
          </w:p>
        </w:tc>
        <w:tc>
          <w:tcPr>
            <w:tcW w:type="dxa" w:w="3496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Scénario opérationnel</w:t>
            </w:r>
          </w:p>
        </w:tc>
        <w:tc>
          <w:tcPr>
            <w:tcW w:type="dxa" w:w="740"/>
            <w:shd w:val="clear" w:color="auto" w:fill="F2FBF7"/>
            <w:tcBorders>
              <w:bottom w:val="single" w:sz="6" w:space="0" w:color="C9DBD3"/>
            </w:tcBorders>
          </w:tcPr>
          <w:p>
            <w:pPr>
              <w:jc w:val="right"/>
            </w:pPr>
            <w:r>
              <w:rPr>
                <w:b/>
                <w:i w:val="0"/>
                <w:color w:val="0C2317"/>
                <w:sz w:val="16"/>
              </w:rPr>
              <w:t>G</w:t>
            </w:r>
          </w:p>
        </w:tc>
        <w:tc>
          <w:tcPr>
            <w:tcW w:type="dxa" w:w="740"/>
            <w:shd w:val="clear" w:color="auto" w:fill="F2FBF7"/>
            <w:tcBorders>
              <w:bottom w:val="single" w:sz="6" w:space="0" w:color="C9DBD3"/>
            </w:tcBorders>
          </w:tcPr>
          <w:p>
            <w:pPr>
              <w:jc w:val="right"/>
            </w:pPr>
            <w:r>
              <w:rPr>
                <w:b/>
                <w:i w:val="0"/>
                <w:color w:val="0C2317"/>
                <w:sz w:val="16"/>
              </w:rPr>
              <w:t>V</w:t>
            </w:r>
          </w:p>
        </w:tc>
        <w:tc>
          <w:tcPr>
            <w:tcW w:type="dxa" w:w="3496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Mesure d'atténuation</w:t>
            </w:r>
          </w:p>
        </w:tc>
      </w:tr>
      <w:tr>
        <w:tc>
          <w:tcPr>
            <w:tcW w:type="dxa" w:w="941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SO-01</w:t>
            </w:r>
          </w:p>
        </w:tc>
        <w:tc>
          <w:tcPr>
            <w:tcW w:type="dxa" w:w="3496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Hameçonnage d'un poste bureautique (BS-04, sans EDR) → récupération d'identifiants → élévation de privilèges sur l'AD (BS-01) → propagation vers le MES (BS-03) faute de segmentation OT/IT → chiffrement, y compris des sauvegardes (BS-06) placées sur le même VLAN.</w:t>
            </w:r>
          </w:p>
        </w:tc>
        <w:tc>
          <w:tcPr>
            <w:tcW w:type="dxa" w:w="740"/>
            <w:tcBorders>
              <w:bottom w:val="single" w:sz="4" w:space="0" w:color="DFE7E3"/>
            </w:tcBorders>
          </w:tcPr>
          <w:p>
            <w:pPr>
              <w:jc w:val="right"/>
            </w:pPr>
            <w:r>
              <w:rPr>
                <w:b w:val="0"/>
                <w:i w:val="0"/>
                <w:color w:val="33403B"/>
                <w:sz w:val="18"/>
              </w:rPr>
              <w:t>4/4</w:t>
            </w:r>
          </w:p>
        </w:tc>
        <w:tc>
          <w:tcPr>
            <w:tcW w:type="dxa" w:w="740"/>
            <w:tcBorders>
              <w:bottom w:val="single" w:sz="4" w:space="0" w:color="DFE7E3"/>
            </w:tcBorders>
          </w:tcPr>
          <w:p>
            <w:pPr>
              <w:jc w:val="right"/>
            </w:pPr>
            <w:r>
              <w:rPr>
                <w:b w:val="0"/>
                <w:i w:val="0"/>
                <w:color w:val="33403B"/>
                <w:sz w:val="18"/>
              </w:rPr>
              <w:t>3/5</w:t>
            </w:r>
          </w:p>
        </w:tc>
        <w:tc>
          <w:tcPr>
            <w:tcW w:type="dxa" w:w="3496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Déploiement EDR, MFA généralisé, segmentation OT/IT, sauvegarde immuable hors site.</w:t>
            </w:r>
          </w:p>
        </w:tc>
      </w:tr>
      <w:tr>
        <w:tc>
          <w:tcPr>
            <w:tcW w:type="dxa" w:w="941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SO-02</w:t>
            </w:r>
          </w:p>
        </w:tc>
        <w:tc>
          <w:tcPr>
            <w:tcW w:type="dxa" w:w="3496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Compromission du compte VPN du prestataire de maintenance des fours → rebond vers le NAS R&amp;D (BS-02) dont le partage SMB est accessible sans cloisonnement → copie des formulations.</w:t>
            </w:r>
          </w:p>
        </w:tc>
        <w:tc>
          <w:tcPr>
            <w:tcW w:type="dxa" w:w="740"/>
            <w:tcBorders>
              <w:bottom w:val="single" w:sz="4" w:space="0" w:color="DFE7E3"/>
            </w:tcBorders>
          </w:tcPr>
          <w:p>
            <w:pPr>
              <w:jc w:val="right"/>
            </w:pPr>
            <w:r>
              <w:rPr>
                <w:b w:val="0"/>
                <w:i w:val="0"/>
                <w:color w:val="33403B"/>
                <w:sz w:val="18"/>
              </w:rPr>
              <w:t>4/4</w:t>
            </w:r>
          </w:p>
        </w:tc>
        <w:tc>
          <w:tcPr>
            <w:tcW w:type="dxa" w:w="740"/>
            <w:tcBorders>
              <w:bottom w:val="single" w:sz="4" w:space="0" w:color="DFE7E3"/>
            </w:tcBorders>
          </w:tcPr>
          <w:p>
            <w:pPr>
              <w:jc w:val="right"/>
            </w:pPr>
            <w:r>
              <w:rPr>
                <w:b w:val="0"/>
                <w:i w:val="0"/>
                <w:color w:val="33403B"/>
                <w:sz w:val="18"/>
              </w:rPr>
              <w:t>2/5</w:t>
            </w:r>
          </w:p>
        </w:tc>
        <w:tc>
          <w:tcPr>
            <w:tcW w:type="dxa" w:w="3496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VPN nominatif par prestataire, MFA obligatoire, restriction d'accès au NAS R&amp;D par groupe AD, journalisation des accès.</w:t>
            </w:r>
          </w:p>
        </w:tc>
      </w:tr>
      <w:tr>
        <w:tc>
          <w:tcPr>
            <w:tcW w:type="dxa" w:w="941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SO-03</w:t>
            </w:r>
          </w:p>
        </w:tc>
        <w:tc>
          <w:tcPr>
            <w:tcW w:type="dxa" w:w="3496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Salarié R&amp;D copiant les formulations sur un support amovible avant son départ, aucun contrôle des périphériques USB n'étant en place.</w:t>
            </w:r>
          </w:p>
        </w:tc>
        <w:tc>
          <w:tcPr>
            <w:tcW w:type="dxa" w:w="740"/>
            <w:tcBorders>
              <w:bottom w:val="single" w:sz="4" w:space="0" w:color="DFE7E3"/>
            </w:tcBorders>
          </w:tcPr>
          <w:p>
            <w:pPr>
              <w:jc w:val="right"/>
            </w:pPr>
            <w:r>
              <w:rPr>
                <w:b w:val="0"/>
                <w:i w:val="0"/>
                <w:color w:val="33403B"/>
                <w:sz w:val="18"/>
              </w:rPr>
              <w:t>3/4</w:t>
            </w:r>
          </w:p>
        </w:tc>
        <w:tc>
          <w:tcPr>
            <w:tcW w:type="dxa" w:w="740"/>
            <w:tcBorders>
              <w:bottom w:val="single" w:sz="4" w:space="0" w:color="DFE7E3"/>
            </w:tcBorders>
          </w:tcPr>
          <w:p>
            <w:pPr>
              <w:jc w:val="right"/>
            </w:pPr>
            <w:r>
              <w:rPr>
                <w:b w:val="0"/>
                <w:i w:val="0"/>
                <w:color w:val="33403B"/>
                <w:sz w:val="18"/>
              </w:rPr>
              <w:t>3/5</w:t>
            </w:r>
          </w:p>
        </w:tc>
        <w:tc>
          <w:tcPr>
            <w:tcW w:type="dxa" w:w="3496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Blocage USB par GPO sauf dérogation, journalisation des copies volumineuses, clause de confidentialité renforcée.</w:t>
            </w:r>
          </w:p>
        </w:tc>
      </w:tr>
      <w:tr>
        <w:tc>
          <w:tcPr>
            <w:tcW w:type="dxa" w:w="941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SO-04</w:t>
            </w:r>
          </w:p>
        </w:tc>
        <w:tc>
          <w:tcPr>
            <w:tcW w:type="dxa" w:w="3496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Accès illégitime au NVR de vidéoprotection depuis le VLAN bureautique, faute de segmentation.</w:t>
            </w:r>
          </w:p>
        </w:tc>
        <w:tc>
          <w:tcPr>
            <w:tcW w:type="dxa" w:w="740"/>
            <w:tcBorders>
              <w:bottom w:val="single" w:sz="4" w:space="0" w:color="DFE7E3"/>
            </w:tcBorders>
          </w:tcPr>
          <w:p>
            <w:pPr>
              <w:jc w:val="right"/>
            </w:pPr>
            <w:r>
              <w:rPr>
                <w:b w:val="0"/>
                <w:i w:val="0"/>
                <w:color w:val="33403B"/>
                <w:sz w:val="18"/>
              </w:rPr>
              <w:t>3/4</w:t>
            </w:r>
          </w:p>
        </w:tc>
        <w:tc>
          <w:tcPr>
            <w:tcW w:type="dxa" w:w="740"/>
            <w:tcBorders>
              <w:bottom w:val="single" w:sz="4" w:space="0" w:color="DFE7E3"/>
            </w:tcBorders>
          </w:tcPr>
          <w:p>
            <w:pPr>
              <w:jc w:val="right"/>
            </w:pPr>
            <w:r>
              <w:rPr>
                <w:b w:val="0"/>
                <w:i w:val="0"/>
                <w:color w:val="33403B"/>
                <w:sz w:val="18"/>
              </w:rPr>
              <w:t>2/5</w:t>
            </w:r>
          </w:p>
        </w:tc>
        <w:tc>
          <w:tcPr>
            <w:tcW w:type="dxa" w:w="3496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VLAN dédié au NVR, authentification nominative, journalisation des consultations.</w:t>
            </w:r>
          </w:p>
        </w:tc>
      </w:tr>
    </w:tbl>
    <w:p/>
    <w:p>
      <w:pPr>
        <w:spacing w:before="200" w:after="40"/>
      </w:pPr>
      <w:r>
        <w:rPr>
          <w:b/>
          <w:i w:val="0"/>
          <w:color w:val="0C2317"/>
          <w:sz w:val="21"/>
        </w:rPr>
        <w:t>2.3bis Traitement des risques (propriétaire, résiduel, décision)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243"/>
        <w:gridCol w:w="2664"/>
        <w:gridCol w:w="1776"/>
        <w:gridCol w:w="1953"/>
        <w:gridCol w:w="1776"/>
      </w:tblGrid>
      <w:tr>
        <w:tc>
          <w:tcPr>
            <w:tcW w:type="dxa" w:w="1243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ID</w:t>
            </w:r>
          </w:p>
        </w:tc>
        <w:tc>
          <w:tcPr>
            <w:tcW w:type="dxa" w:w="2664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Propriétaire</w:t>
            </w:r>
          </w:p>
        </w:tc>
        <w:tc>
          <w:tcPr>
            <w:tcW w:type="dxa" w:w="1776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Résiduel (G/V)</w:t>
            </w:r>
          </w:p>
        </w:tc>
        <w:tc>
          <w:tcPr>
            <w:tcW w:type="dxa" w:w="1953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Stratégie</w:t>
            </w:r>
          </w:p>
        </w:tc>
        <w:tc>
          <w:tcPr>
            <w:tcW w:type="dxa" w:w="1776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Statut</w:t>
            </w:r>
          </w:p>
        </w:tc>
      </w:tr>
      <w:tr>
        <w:tc>
          <w:tcPr>
            <w:tcW w:type="dxa" w:w="1243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SO-01</w:t>
            </w:r>
          </w:p>
        </w:tc>
        <w:tc>
          <w:tcPr>
            <w:tcW w:type="dxa" w:w="2664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RSSI</w:t>
            </w:r>
          </w:p>
        </w:tc>
        <w:tc>
          <w:tcPr>
            <w:tcW w:type="dxa" w:w="1776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3/2</w:t>
            </w:r>
          </w:p>
        </w:tc>
        <w:tc>
          <w:tcPr>
            <w:tcW w:type="dxa" w:w="1953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Réduire</w:t>
            </w:r>
          </w:p>
        </w:tc>
        <w:tc>
          <w:tcPr>
            <w:tcW w:type="dxa" w:w="1776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En traitement</w:t>
            </w:r>
          </w:p>
        </w:tc>
      </w:tr>
      <w:tr>
        <w:tc>
          <w:tcPr>
            <w:tcW w:type="dxa" w:w="1243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SO-02</w:t>
            </w:r>
          </w:p>
        </w:tc>
        <w:tc>
          <w:tcPr>
            <w:tcW w:type="dxa" w:w="2664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DSI</w:t>
            </w:r>
          </w:p>
        </w:tc>
        <w:tc>
          <w:tcPr>
            <w:tcW w:type="dxa" w:w="1776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3/1</w:t>
            </w:r>
          </w:p>
        </w:tc>
        <w:tc>
          <w:tcPr>
            <w:tcW w:type="dxa" w:w="1953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Réduire</w:t>
            </w:r>
          </w:p>
        </w:tc>
        <w:tc>
          <w:tcPr>
            <w:tcW w:type="dxa" w:w="1776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Ouvert</w:t>
            </w:r>
          </w:p>
        </w:tc>
      </w:tr>
      <w:tr>
        <w:tc>
          <w:tcPr>
            <w:tcW w:type="dxa" w:w="1243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SO-03</w:t>
            </w:r>
          </w:p>
        </w:tc>
        <w:tc>
          <w:tcPr>
            <w:tcW w:type="dxa" w:w="2664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Direction R&amp;D</w:t>
            </w:r>
          </w:p>
        </w:tc>
        <w:tc>
          <w:tcPr>
            <w:tcW w:type="dxa" w:w="1776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4/2</w:t>
            </w:r>
          </w:p>
        </w:tc>
        <w:tc>
          <w:tcPr>
            <w:tcW w:type="dxa" w:w="1953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Réduire</w:t>
            </w:r>
          </w:p>
        </w:tc>
        <w:tc>
          <w:tcPr>
            <w:tcW w:type="dxa" w:w="1776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Ouvert</w:t>
            </w:r>
          </w:p>
        </w:tc>
      </w:tr>
      <w:tr>
        <w:tc>
          <w:tcPr>
            <w:tcW w:type="dxa" w:w="1243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SO-04</w:t>
            </w:r>
          </w:p>
        </w:tc>
        <w:tc>
          <w:tcPr>
            <w:tcW w:type="dxa" w:w="2664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Responsable Sûreté</w:t>
            </w:r>
          </w:p>
        </w:tc>
        <w:tc>
          <w:tcPr>
            <w:tcW w:type="dxa" w:w="1776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1/1</w:t>
            </w:r>
          </w:p>
        </w:tc>
        <w:tc>
          <w:tcPr>
            <w:tcW w:type="dxa" w:w="1953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Accepter</w:t>
            </w:r>
          </w:p>
        </w:tc>
        <w:tc>
          <w:tcPr>
            <w:tcW w:type="dxa" w:w="1776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Traité</w:t>
            </w:r>
          </w:p>
        </w:tc>
      </w:tr>
    </w:tbl>
    <w:p/>
    <w:p>
      <w:pPr>
        <w:spacing w:before="200" w:after="40"/>
      </w:pPr>
      <w:r>
        <w:rPr>
          <w:b/>
          <w:i w:val="0"/>
          <w:color w:val="0C2317"/>
          <w:sz w:val="21"/>
        </w:rPr>
        <w:t>2.4 Cas réels versés au dossier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012"/>
        <w:gridCol w:w="6400"/>
      </w:tblGrid>
      <w:tr>
        <w:tc>
          <w:tcPr>
            <w:tcW w:type="dxa" w:w="3012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Cas réel</w:t>
            </w:r>
          </w:p>
        </w:tc>
        <w:tc>
          <w:tcPr>
            <w:tcW w:type="dxa" w:w="6400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Enseignement retenu pour ce client</w:t>
            </w:r>
          </w:p>
        </w:tc>
      </w:tr>
      <w:tr>
        <w:tc>
          <w:tcPr>
            <w:tcW w:type="dxa" w:w="3012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Norsk Hydro (2019) — rançongiciel LockerGoga</w:t>
            </w:r>
          </w:p>
        </w:tc>
        <w:tc>
          <w:tcPr>
            <w:tcW w:type="dxa" w:w="6400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Industriel comparable : la propagation IT vers OT a arrêté la production faute de segmentation. La transparence publique a limité l'atteinte réputationnelle.</w:t>
            </w:r>
          </w:p>
        </w:tc>
      </w:tr>
      <w:tr>
        <w:tc>
          <w:tcPr>
            <w:tcW w:type="dxa" w:w="3012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ASML / employé exfiltrant des données (2023)</w:t>
            </w:r>
          </w:p>
        </w:tc>
        <w:tc>
          <w:tcPr>
            <w:tcW w:type="dxa" w:w="6400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La menace interne sur la propriété intellectuelle industrielle est réelle et ne se traite pas par des mesures périmétriques.</w:t>
            </w:r>
          </w:p>
        </w:tc>
      </w:tr>
      <w:tr>
        <w:tc>
          <w:tcPr>
            <w:tcW w:type="dxa" w:w="3012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Fuite de données de santé — laboratoires français (2021)</w:t>
            </w:r>
          </w:p>
        </w:tc>
        <w:tc>
          <w:tcPr>
            <w:tcW w:type="dxa" w:w="6400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Les données de santé mal cloisonnées finissent en accès ouvert ; la sanction porte sur le défaut de mesures, pas sur l'attaque.</w:t>
            </w:r>
          </w:p>
        </w:tc>
      </w:tr>
    </w:tbl>
    <w:p/>
    <w:p>
      <w:pPr>
        <w:spacing w:before="400" w:after="160"/>
        <w:pBdr>
          <w:bottom w:val="single" w:sz="16" w:space="4" w:color="2EE6A0"/>
        </w:pBdr>
      </w:pPr>
      <w:r>
        <w:rPr>
          <w:b/>
          <w:i w:val="0"/>
          <w:color w:val="2EE6A0"/>
          <w:sz w:val="28"/>
        </w:rPr>
        <w:t xml:space="preserve">3. </w:t>
      </w:r>
      <w:r>
        <w:rPr>
          <w:b/>
          <w:i w:val="0"/>
          <w:color w:val="0C2317"/>
          <w:sz w:val="28"/>
        </w:rPr>
        <w:t>Écosystème et risques tiers</w:t>
      </w:r>
    </w:p>
    <w:p>
      <w:r>
        <w:rPr>
          <w:b w:val="0"/>
          <w:i w:val="0"/>
          <w:color w:val="6B7F78"/>
          <w:sz w:val="18"/>
        </w:rPr>
        <w:t>Criticité selon la formule ANSSI : (dépendance × pénétration) / (maturité × confiance).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025"/>
        <w:gridCol w:w="1849"/>
        <w:gridCol w:w="1513"/>
        <w:gridCol w:w="3025"/>
      </w:tblGrid>
      <w:tr>
        <w:tc>
          <w:tcPr>
            <w:tcW w:type="dxa" w:w="3025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Tiers</w:t>
            </w:r>
          </w:p>
        </w:tc>
        <w:tc>
          <w:tcPr>
            <w:tcW w:type="dxa" w:w="1849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Criticité</w:t>
            </w:r>
          </w:p>
        </w:tc>
        <w:tc>
          <w:tcPr>
            <w:tcW w:type="dxa" w:w="1513"/>
            <w:shd w:val="clear" w:color="auto" w:fill="F2FBF7"/>
            <w:tcBorders>
              <w:bottom w:val="single" w:sz="6" w:space="0" w:color="C9DBD3"/>
            </w:tcBorders>
          </w:tcPr>
          <w:p>
            <w:pPr>
              <w:jc w:val="right"/>
            </w:pPr>
            <w:r>
              <w:rPr>
                <w:b/>
                <w:i w:val="0"/>
                <w:color w:val="0C2317"/>
                <w:sz w:val="16"/>
              </w:rPr>
              <w:t>Ratio</w:t>
            </w:r>
          </w:p>
        </w:tc>
        <w:tc>
          <w:tcPr>
            <w:tcW w:type="dxa" w:w="3025"/>
            <w:shd w:val="clear" w:color="auto" w:fill="F2FBF7"/>
            <w:tcBorders>
              <w:bottom w:val="single" w:sz="6" w:space="0" w:color="C9DBD3"/>
            </w:tcBorders>
          </w:tcPr>
          <w:p>
            <w:pPr>
              <w:jc w:val="right"/>
            </w:pPr>
            <w:r>
              <w:rPr>
                <w:b/>
                <w:i w:val="0"/>
                <w:color w:val="0C2317"/>
                <w:sz w:val="16"/>
              </w:rPr>
              <w:t>Dép. / Pén. / Mat. / Conf.</w:t>
            </w:r>
          </w:p>
        </w:tc>
      </w:tr>
      <w:tr>
        <w:tc>
          <w:tcPr>
            <w:tcW w:type="dxa" w:w="3025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Prestataire maintenance automates (accès VPN permanent)</w:t>
            </w:r>
          </w:p>
        </w:tc>
        <w:tc>
          <w:tcPr>
            <w:tcW w:type="dxa" w:w="1849"/>
            <w:tcBorders>
              <w:bottom w:val="single" w:sz="4" w:space="0" w:color="DFE7E3"/>
            </w:tcBorders>
            <w:shd w:val="clear" w:color="auto" w:fill="FDEAED"/>
          </w:tcPr>
          <w:p>
            <w:r>
              <w:rPr>
                <w:b/>
                <w:i w:val="0"/>
                <w:color w:val="A3243C"/>
                <w:sz w:val="17"/>
              </w:rPr>
              <w:t>Critique</w:t>
            </w:r>
          </w:p>
        </w:tc>
        <w:tc>
          <w:tcPr>
            <w:tcW w:type="dxa" w:w="1513"/>
            <w:tcBorders>
              <w:bottom w:val="single" w:sz="4" w:space="0" w:color="DFE7E3"/>
            </w:tcBorders>
          </w:tcPr>
          <w:p>
            <w:pPr>
              <w:jc w:val="right"/>
            </w:pPr>
            <w:r>
              <w:rPr>
                <w:b w:val="0"/>
                <w:i w:val="0"/>
                <w:color w:val="33403B"/>
                <w:sz w:val="18"/>
              </w:rPr>
              <w:t>4.17</w:t>
            </w:r>
          </w:p>
        </w:tc>
        <w:tc>
          <w:tcPr>
            <w:tcW w:type="dxa" w:w="3025"/>
            <w:tcBorders>
              <w:bottom w:val="single" w:sz="4" w:space="0" w:color="DFE7E3"/>
            </w:tcBorders>
          </w:tcPr>
          <w:p>
            <w:pPr>
              <w:jc w:val="right"/>
            </w:pPr>
            <w:r>
              <w:rPr>
                <w:b w:val="0"/>
                <w:i w:val="0"/>
                <w:color w:val="33403B"/>
                <w:sz w:val="18"/>
              </w:rPr>
              <w:t>5 / 5 / 2 / 3</w:t>
            </w:r>
          </w:p>
        </w:tc>
      </w:tr>
      <w:tr>
        <w:tc>
          <w:tcPr>
            <w:tcW w:type="dxa" w:w="3025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Infogéreur poste de travail</w:t>
            </w:r>
          </w:p>
        </w:tc>
        <w:tc>
          <w:tcPr>
            <w:tcW w:type="dxa" w:w="1849"/>
            <w:tcBorders>
              <w:bottom w:val="single" w:sz="4" w:space="0" w:color="DFE7E3"/>
            </w:tcBorders>
            <w:shd w:val="clear" w:color="auto" w:fill="E8F4FD"/>
          </w:tcPr>
          <w:p>
            <w:r>
              <w:rPr>
                <w:b/>
                <w:i w:val="0"/>
                <w:color w:val="1D5F88"/>
                <w:sz w:val="17"/>
              </w:rPr>
              <w:t>Moyen</w:t>
            </w:r>
          </w:p>
        </w:tc>
        <w:tc>
          <w:tcPr>
            <w:tcW w:type="dxa" w:w="1513"/>
            <w:tcBorders>
              <w:bottom w:val="single" w:sz="4" w:space="0" w:color="DFE7E3"/>
            </w:tcBorders>
          </w:tcPr>
          <w:p>
            <w:pPr>
              <w:jc w:val="right"/>
            </w:pPr>
            <w:r>
              <w:rPr>
                <w:b w:val="0"/>
                <w:i w:val="0"/>
                <w:color w:val="33403B"/>
                <w:sz w:val="18"/>
              </w:rPr>
              <w:t>1.33</w:t>
            </w:r>
          </w:p>
        </w:tc>
        <w:tc>
          <w:tcPr>
            <w:tcW w:type="dxa" w:w="3025"/>
            <w:tcBorders>
              <w:bottom w:val="single" w:sz="4" w:space="0" w:color="DFE7E3"/>
            </w:tcBorders>
          </w:tcPr>
          <w:p>
            <w:pPr>
              <w:jc w:val="right"/>
            </w:pPr>
            <w:r>
              <w:rPr>
                <w:b w:val="0"/>
                <w:i w:val="0"/>
                <w:color w:val="33403B"/>
                <w:sz w:val="18"/>
              </w:rPr>
              <w:t>4 / 4 / 3 / 4</w:t>
            </w:r>
          </w:p>
        </w:tc>
      </w:tr>
      <w:tr>
        <w:tc>
          <w:tcPr>
            <w:tcW w:type="dxa" w:w="3025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Hébergeur Microsoft 365</w:t>
            </w:r>
          </w:p>
        </w:tc>
        <w:tc>
          <w:tcPr>
            <w:tcW w:type="dxa" w:w="1849"/>
            <w:tcBorders>
              <w:bottom w:val="single" w:sz="4" w:space="0" w:color="DFE7E3"/>
            </w:tcBorders>
            <w:shd w:val="clear" w:color="auto" w:fill="EEF2F1"/>
          </w:tcPr>
          <w:p>
            <w:r>
              <w:rPr>
                <w:b/>
                <w:i w:val="0"/>
                <w:color w:val="62726D"/>
                <w:sz w:val="17"/>
              </w:rPr>
              <w:t>Faible</w:t>
            </w:r>
          </w:p>
        </w:tc>
        <w:tc>
          <w:tcPr>
            <w:tcW w:type="dxa" w:w="1513"/>
            <w:tcBorders>
              <w:bottom w:val="single" w:sz="4" w:space="0" w:color="DFE7E3"/>
            </w:tcBorders>
          </w:tcPr>
          <w:p>
            <w:pPr>
              <w:jc w:val="right"/>
            </w:pPr>
            <w:r>
              <w:rPr>
                <w:b w:val="0"/>
                <w:i w:val="0"/>
                <w:color w:val="33403B"/>
                <w:sz w:val="18"/>
              </w:rPr>
              <w:t>0.8</w:t>
            </w:r>
          </w:p>
        </w:tc>
        <w:tc>
          <w:tcPr>
            <w:tcW w:type="dxa" w:w="3025"/>
            <w:tcBorders>
              <w:bottom w:val="single" w:sz="4" w:space="0" w:color="DFE7E3"/>
            </w:tcBorders>
          </w:tcPr>
          <w:p>
            <w:pPr>
              <w:jc w:val="right"/>
            </w:pPr>
            <w:r>
              <w:rPr>
                <w:b w:val="0"/>
                <w:i w:val="0"/>
                <w:color w:val="33403B"/>
                <w:sz w:val="18"/>
              </w:rPr>
              <w:t>5 / 4 / 5 / 5</w:t>
            </w:r>
          </w:p>
        </w:tc>
      </w:tr>
      <w:tr>
        <w:tc>
          <w:tcPr>
            <w:tcW w:type="dxa" w:w="3025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Fournisseur de résines (portail EDI)</w:t>
            </w:r>
          </w:p>
        </w:tc>
        <w:tc>
          <w:tcPr>
            <w:tcW w:type="dxa" w:w="1849"/>
            <w:tcBorders>
              <w:bottom w:val="single" w:sz="4" w:space="0" w:color="DFE7E3"/>
            </w:tcBorders>
            <w:shd w:val="clear" w:color="auto" w:fill="EEF2F1"/>
          </w:tcPr>
          <w:p>
            <w:r>
              <w:rPr>
                <w:b/>
                <w:i w:val="0"/>
                <w:color w:val="62726D"/>
                <w:sz w:val="17"/>
              </w:rPr>
              <w:t>Faible</w:t>
            </w:r>
          </w:p>
        </w:tc>
        <w:tc>
          <w:tcPr>
            <w:tcW w:type="dxa" w:w="1513"/>
            <w:tcBorders>
              <w:bottom w:val="single" w:sz="4" w:space="0" w:color="DFE7E3"/>
            </w:tcBorders>
          </w:tcPr>
          <w:p>
            <w:pPr>
              <w:jc w:val="right"/>
            </w:pPr>
            <w:r>
              <w:rPr>
                <w:b w:val="0"/>
                <w:i w:val="0"/>
                <w:color w:val="33403B"/>
                <w:sz w:val="18"/>
              </w:rPr>
              <w:t>0.67</w:t>
            </w:r>
          </w:p>
        </w:tc>
        <w:tc>
          <w:tcPr>
            <w:tcW w:type="dxa" w:w="3025"/>
            <w:tcBorders>
              <w:bottom w:val="single" w:sz="4" w:space="0" w:color="DFE7E3"/>
            </w:tcBorders>
          </w:tcPr>
          <w:p>
            <w:pPr>
              <w:jc w:val="right"/>
            </w:pPr>
            <w:r>
              <w:rPr>
                <w:b w:val="0"/>
                <w:i w:val="0"/>
                <w:color w:val="33403B"/>
                <w:sz w:val="18"/>
              </w:rPr>
              <w:t>3 / 2 / 3 / 3</w:t>
            </w:r>
          </w:p>
        </w:tc>
      </w:tr>
      <w:tr>
        <w:tc>
          <w:tcPr>
            <w:tcW w:type="dxa" w:w="3025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Cabinet d'expertise comptable</w:t>
            </w:r>
          </w:p>
        </w:tc>
        <w:tc>
          <w:tcPr>
            <w:tcW w:type="dxa" w:w="1849"/>
            <w:tcBorders>
              <w:bottom w:val="single" w:sz="4" w:space="0" w:color="DFE7E3"/>
            </w:tcBorders>
            <w:shd w:val="clear" w:color="auto" w:fill="EEF2F1"/>
          </w:tcPr>
          <w:p>
            <w:r>
              <w:rPr>
                <w:b/>
                <w:i w:val="0"/>
                <w:color w:val="62726D"/>
                <w:sz w:val="17"/>
              </w:rPr>
              <w:t>Faible</w:t>
            </w:r>
          </w:p>
        </w:tc>
        <w:tc>
          <w:tcPr>
            <w:tcW w:type="dxa" w:w="1513"/>
            <w:tcBorders>
              <w:bottom w:val="single" w:sz="4" w:space="0" w:color="DFE7E3"/>
            </w:tcBorders>
          </w:tcPr>
          <w:p>
            <w:pPr>
              <w:jc w:val="right"/>
            </w:pPr>
            <w:r>
              <w:rPr>
                <w:b w:val="0"/>
                <w:i w:val="0"/>
                <w:color w:val="33403B"/>
                <w:sz w:val="18"/>
              </w:rPr>
              <w:t>0.17</w:t>
            </w:r>
          </w:p>
        </w:tc>
        <w:tc>
          <w:tcPr>
            <w:tcW w:type="dxa" w:w="3025"/>
            <w:tcBorders>
              <w:bottom w:val="single" w:sz="4" w:space="0" w:color="DFE7E3"/>
            </w:tcBorders>
          </w:tcPr>
          <w:p>
            <w:pPr>
              <w:jc w:val="right"/>
            </w:pPr>
            <w:r>
              <w:rPr>
                <w:b w:val="0"/>
                <w:i w:val="0"/>
                <w:color w:val="33403B"/>
                <w:sz w:val="18"/>
              </w:rPr>
              <w:t>2 / 1 / 3 / 4</w:t>
            </w:r>
          </w:p>
        </w:tc>
      </w:tr>
    </w:tbl>
    <w:p/>
    <w:p>
      <w:pPr>
        <w:spacing w:before="400" w:after="160"/>
        <w:pBdr>
          <w:bottom w:val="single" w:sz="16" w:space="4" w:color="2EE6A0"/>
        </w:pBdr>
      </w:pPr>
      <w:r>
        <w:rPr>
          <w:b/>
          <w:i w:val="0"/>
          <w:color w:val="2EE6A0"/>
          <w:sz w:val="28"/>
        </w:rPr>
        <w:t xml:space="preserve">4. </w:t>
      </w:r>
      <w:r>
        <w:rPr>
          <w:b/>
          <w:i w:val="0"/>
          <w:color w:val="0C2317"/>
          <w:sz w:val="28"/>
        </w:rPr>
        <w:t>Plan d'action &amp; traitement</w:t>
      </w:r>
    </w:p>
    <w:p>
      <w:pPr>
        <w:spacing w:after="120"/>
      </w:pPr>
      <w:r>
        <w:rPr>
          <w:b w:val="0"/>
          <w:i w:val="0"/>
          <w:color w:val="33403B"/>
          <w:sz w:val="20"/>
        </w:rPr>
        <w:t>Chaque mesure ci-dessous répond à un scénario ou à un écart constaté au chapitre 2.</w:t>
      </w:r>
    </w:p>
    <w:p>
      <w:pPr>
        <w:spacing w:before="200" w:after="40"/>
      </w:pPr>
      <w:r>
        <w:rPr>
          <w:b/>
          <w:i w:val="0"/>
          <w:color w:val="0C2317"/>
          <w:sz w:val="21"/>
        </w:rPr>
        <w:t>4.1 Mesures priorisées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198"/>
        <w:gridCol w:w="1711"/>
        <w:gridCol w:w="1882"/>
        <w:gridCol w:w="4620"/>
      </w:tblGrid>
      <w:tr>
        <w:tc>
          <w:tcPr>
            <w:tcW w:type="dxa" w:w="1198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ID</w:t>
            </w:r>
          </w:p>
        </w:tc>
        <w:tc>
          <w:tcPr>
            <w:tcW w:type="dxa" w:w="1711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Priorité</w:t>
            </w:r>
          </w:p>
        </w:tc>
        <w:tc>
          <w:tcPr>
            <w:tcW w:type="dxa" w:w="1882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Axe</w:t>
            </w:r>
          </w:p>
        </w:tc>
        <w:tc>
          <w:tcPr>
            <w:tcW w:type="dxa" w:w="4620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Mesure de traitement</w:t>
            </w:r>
          </w:p>
        </w:tc>
      </w:tr>
      <w:tr>
        <w:tc>
          <w:tcPr>
            <w:tcW w:type="dxa" w:w="1198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REM-01</w:t>
            </w:r>
          </w:p>
        </w:tc>
        <w:tc>
          <w:tcPr>
            <w:tcW w:type="dxa" w:w="1711"/>
            <w:tcBorders>
              <w:bottom w:val="single" w:sz="4" w:space="0" w:color="DFE7E3"/>
            </w:tcBorders>
            <w:shd w:val="clear" w:color="auto" w:fill="FDEAED"/>
          </w:tcPr>
          <w:p>
            <w:r>
              <w:rPr>
                <w:b/>
                <w:i w:val="0"/>
                <w:color w:val="A3243C"/>
                <w:sz w:val="17"/>
              </w:rPr>
              <w:t>Critique</w:t>
            </w:r>
          </w:p>
        </w:tc>
        <w:tc>
          <w:tcPr>
            <w:tcW w:type="dxa" w:w="1882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Protection</w:t>
            </w:r>
          </w:p>
        </w:tc>
        <w:tc>
          <w:tcPr>
            <w:tcW w:type="dxa" w:w="4620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Segmenter le réseau OT du réseau bureautique (pare-feu industriel, flux autorisés en liste blanche) — traite SO-01 et SO-02.</w:t>
            </w:r>
          </w:p>
        </w:tc>
      </w:tr>
      <w:tr>
        <w:tc>
          <w:tcPr>
            <w:tcW w:type="dxa" w:w="1198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REM-02</w:t>
            </w:r>
          </w:p>
        </w:tc>
        <w:tc>
          <w:tcPr>
            <w:tcW w:type="dxa" w:w="1711"/>
            <w:tcBorders>
              <w:bottom w:val="single" w:sz="4" w:space="0" w:color="DFE7E3"/>
            </w:tcBorders>
            <w:shd w:val="clear" w:color="auto" w:fill="FDEAED"/>
          </w:tcPr>
          <w:p>
            <w:r>
              <w:rPr>
                <w:b/>
                <w:i w:val="0"/>
                <w:color w:val="A3243C"/>
                <w:sz w:val="17"/>
              </w:rPr>
              <w:t>Critique</w:t>
            </w:r>
          </w:p>
        </w:tc>
        <w:tc>
          <w:tcPr>
            <w:tcW w:type="dxa" w:w="1882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Résilience</w:t>
            </w:r>
          </w:p>
        </w:tc>
        <w:tc>
          <w:tcPr>
            <w:tcW w:type="dxa" w:w="4620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Mettre en place une sauvegarde immuable hors site et tester la restauration complète du MES — traite ER-01.</w:t>
            </w:r>
          </w:p>
        </w:tc>
      </w:tr>
      <w:tr>
        <w:tc>
          <w:tcPr>
            <w:tcW w:type="dxa" w:w="1198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REM-03</w:t>
            </w:r>
          </w:p>
        </w:tc>
        <w:tc>
          <w:tcPr>
            <w:tcW w:type="dxa" w:w="1711"/>
            <w:tcBorders>
              <w:bottom w:val="single" w:sz="4" w:space="0" w:color="DFE7E3"/>
            </w:tcBorders>
            <w:shd w:val="clear" w:color="auto" w:fill="FDEAED"/>
          </w:tcPr>
          <w:p>
            <w:r>
              <w:rPr>
                <w:b/>
                <w:i w:val="0"/>
                <w:color w:val="A3243C"/>
                <w:sz w:val="17"/>
              </w:rPr>
              <w:t>Critique</w:t>
            </w:r>
          </w:p>
        </w:tc>
        <w:tc>
          <w:tcPr>
            <w:tcW w:type="dxa" w:w="1882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Protection</w:t>
            </w:r>
          </w:p>
        </w:tc>
        <w:tc>
          <w:tcPr>
            <w:tcW w:type="dxa" w:w="4620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Généraliser le MFA à tous les comptes M365 et VPN, y compris prestataires — traite SO-01 et SO-02.</w:t>
            </w:r>
          </w:p>
        </w:tc>
      </w:tr>
      <w:tr>
        <w:tc>
          <w:tcPr>
            <w:tcW w:type="dxa" w:w="1198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REM-04</w:t>
            </w:r>
          </w:p>
        </w:tc>
        <w:tc>
          <w:tcPr>
            <w:tcW w:type="dxa" w:w="1711"/>
            <w:tcBorders>
              <w:bottom w:val="single" w:sz="4" w:space="0" w:color="DFE7E3"/>
            </w:tcBorders>
            <w:shd w:val="clear" w:color="auto" w:fill="FDF3E0"/>
          </w:tcPr>
          <w:p>
            <w:r>
              <w:rPr>
                <w:b/>
                <w:i w:val="0"/>
                <w:color w:val="8A5B00"/>
                <w:sz w:val="17"/>
              </w:rPr>
              <w:t>Élevé</w:t>
            </w:r>
          </w:p>
        </w:tc>
        <w:tc>
          <w:tcPr>
            <w:tcW w:type="dxa" w:w="1882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Défense</w:t>
            </w:r>
          </w:p>
        </w:tc>
        <w:tc>
          <w:tcPr>
            <w:tcW w:type="dxa" w:w="4620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Déployer un EDR sur les 168 postes et les serveurs, avec supervision — traite SO-01.</w:t>
            </w:r>
          </w:p>
        </w:tc>
      </w:tr>
      <w:tr>
        <w:tc>
          <w:tcPr>
            <w:tcW w:type="dxa" w:w="1198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REM-05</w:t>
            </w:r>
          </w:p>
        </w:tc>
        <w:tc>
          <w:tcPr>
            <w:tcW w:type="dxa" w:w="1711"/>
            <w:tcBorders>
              <w:bottom w:val="single" w:sz="4" w:space="0" w:color="DFE7E3"/>
            </w:tcBorders>
            <w:shd w:val="clear" w:color="auto" w:fill="FDF3E0"/>
          </w:tcPr>
          <w:p>
            <w:r>
              <w:rPr>
                <w:b/>
                <w:i w:val="0"/>
                <w:color w:val="8A5B00"/>
                <w:sz w:val="17"/>
              </w:rPr>
              <w:t>Élevé</w:t>
            </w:r>
          </w:p>
        </w:tc>
        <w:tc>
          <w:tcPr>
            <w:tcW w:type="dxa" w:w="1882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Protection</w:t>
            </w:r>
          </w:p>
        </w:tc>
        <w:tc>
          <w:tcPr>
            <w:tcW w:type="dxa" w:w="4620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Restreindre l'accès au NAS R&amp;D par groupe AD et bloquer les périphériques USB par GPO — traite SO-03.</w:t>
            </w:r>
          </w:p>
        </w:tc>
      </w:tr>
      <w:tr>
        <w:tc>
          <w:tcPr>
            <w:tcW w:type="dxa" w:w="1198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REM-06</w:t>
            </w:r>
          </w:p>
        </w:tc>
        <w:tc>
          <w:tcPr>
            <w:tcW w:type="dxa" w:w="1711"/>
            <w:tcBorders>
              <w:bottom w:val="single" w:sz="4" w:space="0" w:color="DFE7E3"/>
            </w:tcBorders>
            <w:shd w:val="clear" w:color="auto" w:fill="FDF3E0"/>
          </w:tcPr>
          <w:p>
            <w:r>
              <w:rPr>
                <w:b/>
                <w:i w:val="0"/>
                <w:color w:val="8A5B00"/>
                <w:sz w:val="17"/>
              </w:rPr>
              <w:t>Élevé</w:t>
            </w:r>
          </w:p>
        </w:tc>
        <w:tc>
          <w:tcPr>
            <w:tcW w:type="dxa" w:w="1882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Gouvernance</w:t>
            </w:r>
          </w:p>
        </w:tc>
        <w:tc>
          <w:tcPr>
            <w:tcW w:type="dxa" w:w="4620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Faire adopter la PSSI par la direction et nommer un référent sécurité à temps partiel — aucune gouvernance formalisée à ce jour.</w:t>
            </w:r>
          </w:p>
        </w:tc>
      </w:tr>
      <w:tr>
        <w:tc>
          <w:tcPr>
            <w:tcW w:type="dxa" w:w="1198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REM-07</w:t>
            </w:r>
          </w:p>
        </w:tc>
        <w:tc>
          <w:tcPr>
            <w:tcW w:type="dxa" w:w="1711"/>
            <w:tcBorders>
              <w:bottom w:val="single" w:sz="4" w:space="0" w:color="DFE7E3"/>
            </w:tcBorders>
            <w:shd w:val="clear" w:color="auto" w:fill="E8F4FD"/>
          </w:tcPr>
          <w:p>
            <w:r>
              <w:rPr>
                <w:b/>
                <w:i w:val="0"/>
                <w:color w:val="1D5F88"/>
                <w:sz w:val="17"/>
              </w:rPr>
              <w:t>Moyen</w:t>
            </w:r>
          </w:p>
        </w:tc>
        <w:tc>
          <w:tcPr>
            <w:tcW w:type="dxa" w:w="1882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Défense</w:t>
            </w:r>
          </w:p>
        </w:tc>
        <w:tc>
          <w:tcPr>
            <w:tcW w:type="dxa" w:w="4620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Centraliser les journaux (AD, pare-feu, M365, NVR) avec une rétention de 12 mois — traite SO-04 et conditionne toute investigation.</w:t>
            </w:r>
          </w:p>
        </w:tc>
      </w:tr>
      <w:tr>
        <w:tc>
          <w:tcPr>
            <w:tcW w:type="dxa" w:w="1198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REM-08</w:t>
            </w:r>
          </w:p>
        </w:tc>
        <w:tc>
          <w:tcPr>
            <w:tcW w:type="dxa" w:w="1711"/>
            <w:tcBorders>
              <w:bottom w:val="single" w:sz="4" w:space="0" w:color="DFE7E3"/>
            </w:tcBorders>
            <w:shd w:val="clear" w:color="auto" w:fill="E8F4FD"/>
          </w:tcPr>
          <w:p>
            <w:r>
              <w:rPr>
                <w:b/>
                <w:i w:val="0"/>
                <w:color w:val="1D5F88"/>
                <w:sz w:val="17"/>
              </w:rPr>
              <w:t>Moyen</w:t>
            </w:r>
          </w:p>
        </w:tc>
        <w:tc>
          <w:tcPr>
            <w:tcW w:type="dxa" w:w="1882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Gouvernance</w:t>
            </w:r>
          </w:p>
        </w:tc>
        <w:tc>
          <w:tcPr>
            <w:tcW w:type="dxa" w:w="4620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Mettre en place une revue trimestrielle des accès et un processus de départ salarié — traite SO-03.</w:t>
            </w:r>
          </w:p>
        </w:tc>
      </w:tr>
    </w:tbl>
    <w:p/>
    <w:p>
      <w:pPr>
        <w:spacing w:before="200" w:after="40"/>
      </w:pPr>
      <w:r>
        <w:rPr>
          <w:b/>
          <w:i w:val="0"/>
          <w:color w:val="0C2317"/>
          <w:sz w:val="21"/>
        </w:rPr>
        <w:t>4.1bis Pilotage (responsable, échéance, statut)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027"/>
        <w:gridCol w:w="2396"/>
        <w:gridCol w:w="1711"/>
        <w:gridCol w:w="1711"/>
        <w:gridCol w:w="2567"/>
      </w:tblGrid>
      <w:tr>
        <w:tc>
          <w:tcPr>
            <w:tcW w:type="dxa" w:w="1027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ID</w:t>
            </w:r>
          </w:p>
        </w:tc>
        <w:tc>
          <w:tcPr>
            <w:tcW w:type="dxa" w:w="2396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Responsable</w:t>
            </w:r>
          </w:p>
        </w:tc>
        <w:tc>
          <w:tcPr>
            <w:tcW w:type="dxa" w:w="1711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Échéance</w:t>
            </w:r>
          </w:p>
        </w:tc>
        <w:tc>
          <w:tcPr>
            <w:tcW w:type="dxa" w:w="1711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Statut</w:t>
            </w:r>
          </w:p>
        </w:tc>
        <w:tc>
          <w:tcPr>
            <w:tcW w:type="dxa" w:w="2567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Coût estimé</w:t>
            </w:r>
          </w:p>
        </w:tc>
      </w:tr>
      <w:tr>
        <w:tc>
          <w:tcPr>
            <w:tcW w:type="dxa" w:w="1027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REM-01</w:t>
            </w:r>
          </w:p>
        </w:tc>
        <w:tc>
          <w:tcPr>
            <w:tcW w:type="dxa" w:w="2396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DSI</w:t>
            </w:r>
          </w:p>
        </w:tc>
        <w:tc>
          <w:tcPr>
            <w:tcW w:type="dxa" w:w="1711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2026-09-30</w:t>
            </w:r>
          </w:p>
        </w:tc>
        <w:tc>
          <w:tcPr>
            <w:tcW w:type="dxa" w:w="1711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En cours</w:t>
            </w:r>
          </w:p>
        </w:tc>
        <w:tc>
          <w:tcPr>
            <w:tcW w:type="dxa" w:w="2567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Moyen</w:t>
            </w:r>
          </w:p>
        </w:tc>
      </w:tr>
      <w:tr>
        <w:tc>
          <w:tcPr>
            <w:tcW w:type="dxa" w:w="1027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REM-02</w:t>
            </w:r>
          </w:p>
        </w:tc>
        <w:tc>
          <w:tcPr>
            <w:tcW w:type="dxa" w:w="2396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DSI</w:t>
            </w:r>
          </w:p>
        </w:tc>
        <w:tc>
          <w:tcPr>
            <w:tcW w:type="dxa" w:w="1711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2026-09-15</w:t>
            </w:r>
          </w:p>
        </w:tc>
        <w:tc>
          <w:tcPr>
            <w:tcW w:type="dxa" w:w="1711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Fait</w:t>
            </w:r>
          </w:p>
        </w:tc>
        <w:tc>
          <w:tcPr>
            <w:tcW w:type="dxa" w:w="2567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Léger</w:t>
            </w:r>
          </w:p>
        </w:tc>
      </w:tr>
      <w:tr>
        <w:tc>
          <w:tcPr>
            <w:tcW w:type="dxa" w:w="1027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REM-03</w:t>
            </w:r>
          </w:p>
        </w:tc>
        <w:tc>
          <w:tcPr>
            <w:tcW w:type="dxa" w:w="2396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DSI</w:t>
            </w:r>
          </w:p>
        </w:tc>
        <w:tc>
          <w:tcPr>
            <w:tcW w:type="dxa" w:w="1711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2026-09-01</w:t>
            </w:r>
          </w:p>
        </w:tc>
        <w:tc>
          <w:tcPr>
            <w:tcW w:type="dxa" w:w="1711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En cours</w:t>
            </w:r>
          </w:p>
        </w:tc>
        <w:tc>
          <w:tcPr>
            <w:tcW w:type="dxa" w:w="2567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Léger</w:t>
            </w:r>
          </w:p>
        </w:tc>
      </w:tr>
      <w:tr>
        <w:tc>
          <w:tcPr>
            <w:tcW w:type="dxa" w:w="1027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REM-04</w:t>
            </w:r>
          </w:p>
        </w:tc>
        <w:tc>
          <w:tcPr>
            <w:tcW w:type="dxa" w:w="2396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DSI</w:t>
            </w:r>
          </w:p>
        </w:tc>
        <w:tc>
          <w:tcPr>
            <w:tcW w:type="dxa" w:w="1711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2026-11-30</w:t>
            </w:r>
          </w:p>
        </w:tc>
        <w:tc>
          <w:tcPr>
            <w:tcW w:type="dxa" w:w="1711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À faire</w:t>
            </w:r>
          </w:p>
        </w:tc>
        <w:tc>
          <w:tcPr>
            <w:tcW w:type="dxa" w:w="2567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Élevé</w:t>
            </w:r>
          </w:p>
        </w:tc>
      </w:tr>
      <w:tr>
        <w:tc>
          <w:tcPr>
            <w:tcW w:type="dxa" w:w="1027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REM-05</w:t>
            </w:r>
          </w:p>
        </w:tc>
        <w:tc>
          <w:tcPr>
            <w:tcW w:type="dxa" w:w="2396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DSI</w:t>
            </w:r>
          </w:p>
        </w:tc>
        <w:tc>
          <w:tcPr>
            <w:tcW w:type="dxa" w:w="1711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2026-09-30</w:t>
            </w:r>
          </w:p>
        </w:tc>
        <w:tc>
          <w:tcPr>
            <w:tcW w:type="dxa" w:w="1711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À faire</w:t>
            </w:r>
          </w:p>
        </w:tc>
        <w:tc>
          <w:tcPr>
            <w:tcW w:type="dxa" w:w="2567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Négligeable</w:t>
            </w:r>
          </w:p>
        </w:tc>
      </w:tr>
      <w:tr>
        <w:tc>
          <w:tcPr>
            <w:tcW w:type="dxa" w:w="1027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REM-06</w:t>
            </w:r>
          </w:p>
        </w:tc>
        <w:tc>
          <w:tcPr>
            <w:tcW w:type="dxa" w:w="2396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Direction Générale</w:t>
            </w:r>
          </w:p>
        </w:tc>
        <w:tc>
          <w:tcPr>
            <w:tcW w:type="dxa" w:w="1711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2026-10-15</w:t>
            </w:r>
          </w:p>
        </w:tc>
        <w:tc>
          <w:tcPr>
            <w:tcW w:type="dxa" w:w="1711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À faire</w:t>
            </w:r>
          </w:p>
        </w:tc>
        <w:tc>
          <w:tcPr>
            <w:tcW w:type="dxa" w:w="2567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Négligeable</w:t>
            </w:r>
          </w:p>
        </w:tc>
      </w:tr>
      <w:tr>
        <w:tc>
          <w:tcPr>
            <w:tcW w:type="dxa" w:w="1027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REM-07</w:t>
            </w:r>
          </w:p>
        </w:tc>
        <w:tc>
          <w:tcPr>
            <w:tcW w:type="dxa" w:w="2396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RSSI</w:t>
            </w:r>
          </w:p>
        </w:tc>
        <w:tc>
          <w:tcPr>
            <w:tcW w:type="dxa" w:w="1711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2026-12-15</w:t>
            </w:r>
          </w:p>
        </w:tc>
        <w:tc>
          <w:tcPr>
            <w:tcW w:type="dxa" w:w="1711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À faire</w:t>
            </w:r>
          </w:p>
        </w:tc>
        <w:tc>
          <w:tcPr>
            <w:tcW w:type="dxa" w:w="2567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Moyen</w:t>
            </w:r>
          </w:p>
        </w:tc>
      </w:tr>
      <w:tr>
        <w:tc>
          <w:tcPr>
            <w:tcW w:type="dxa" w:w="1027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REM-08</w:t>
            </w:r>
          </w:p>
        </w:tc>
        <w:tc>
          <w:tcPr>
            <w:tcW w:type="dxa" w:w="2396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RSSI</w:t>
            </w:r>
          </w:p>
        </w:tc>
        <w:tc>
          <w:tcPr>
            <w:tcW w:type="dxa" w:w="1711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2026-10-01</w:t>
            </w:r>
          </w:p>
        </w:tc>
        <w:tc>
          <w:tcPr>
            <w:tcW w:type="dxa" w:w="1711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À faire</w:t>
            </w:r>
          </w:p>
        </w:tc>
        <w:tc>
          <w:tcPr>
            <w:tcW w:type="dxa" w:w="2567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Négligeable</w:t>
            </w:r>
          </w:p>
        </w:tc>
      </w:tr>
    </w:tbl>
    <w:p/>
    <w:p>
      <w:pPr>
        <w:spacing w:before="200" w:after="40"/>
      </w:pPr>
      <w:r>
        <w:rPr>
          <w:b/>
          <w:i w:val="0"/>
          <w:color w:val="0C2317"/>
          <w:sz w:val="21"/>
        </w:rPr>
        <w:t>4.2 Actions immédiates</w:t>
      </w:r>
    </w:p>
    <w:p>
      <w:pPr>
        <w:pStyle w:val="ListNumber"/>
      </w:pPr>
      <w:r>
        <w:rPr>
          <w:b w:val="0"/>
          <w:i w:val="0"/>
          <w:color w:val="33403B"/>
          <w:sz w:val="19"/>
        </w:rPr>
        <w:t>Activer le MFA sur la messagerie et le VPN</w:t>
      </w:r>
    </w:p>
    <w:p>
      <w:pPr>
        <w:pStyle w:val="ListNumber"/>
      </w:pPr>
      <w:r>
        <w:rPr>
          <w:b w:val="0"/>
          <w:i w:val="0"/>
          <w:color w:val="33403B"/>
          <w:sz w:val="19"/>
        </w:rPr>
        <w:t>Changer les mots de passe d'administration par défaut des automates</w:t>
      </w:r>
    </w:p>
    <w:p>
      <w:pPr>
        <w:pStyle w:val="ListNumber"/>
      </w:pPr>
      <w:r>
        <w:rPr>
          <w:b w:val="0"/>
          <w:i w:val="0"/>
          <w:color w:val="33403B"/>
          <w:sz w:val="19"/>
        </w:rPr>
        <w:t>Sortir une copie de sauvegarde du VLAN de production</w:t>
      </w:r>
    </w:p>
    <w:p>
      <w:pPr>
        <w:pStyle w:val="ListNumber"/>
      </w:pPr>
      <w:r>
        <w:rPr>
          <w:b w:val="0"/>
          <w:i w:val="0"/>
          <w:color w:val="33403B"/>
          <w:sz w:val="19"/>
        </w:rPr>
        <w:t>Sensibiliser les 204 salariés à l'hameçonnage</w:t>
      </w:r>
    </w:p>
    <w:p>
      <w:pPr>
        <w:pStyle w:val="ListNumber"/>
      </w:pPr>
      <w:r>
        <w:rPr>
          <w:b w:val="0"/>
          <w:i w:val="0"/>
          <w:color w:val="33403B"/>
          <w:sz w:val="19"/>
        </w:rPr>
        <w:t>Appliquer les correctifs critiques en attente sur les 2 contrôleurs de domaine</w:t>
      </w:r>
    </w:p>
    <w:p>
      <w:pPr>
        <w:pStyle w:val="ListNumber"/>
      </w:pPr>
      <w:r>
        <w:rPr>
          <w:b w:val="0"/>
          <w:i w:val="0"/>
          <w:color w:val="33403B"/>
          <w:sz w:val="19"/>
        </w:rPr>
        <w:t>Retirer les droits d'administrateur local aux utilisateurs standards</w:t>
      </w:r>
    </w:p>
    <w:sectPr w:rsidR="00FC693F" w:rsidRPr="0006063C" w:rsidSect="00034616">
      <w:footerReference w:type="default" r:id="rId10"/>
      <w:pgSz w:w="11906" w:h="16838"/>
      <w:pgMar w:top="907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b w:val="0"/>
        <w:i w:val="0"/>
        <w:color w:val="33403B"/>
        <w:sz w:val="14"/>
      </w:rPr>
      <w:t>GREEN SHIELD — Cabinet non renseigné · Document confidentiel, ne pas diffuser sans autorisation écrite.</w:t>
    </w:r>
  </w:p>
  <w:p>
    <w:pPr>
      <w:jc w:val="center"/>
    </w:pPr>
    <w:r>
      <w:rPr>
        <w:b w:val="0"/>
        <w:i w:val="0"/>
        <w:color w:val="33403B"/>
        <w:sz w:val="13"/>
      </w:rPr>
      <w:t>Empreinte SHA-256 de l'état de la mission à l'édition : b74a86b53875b57c1a939c4a3399b4add2a26263c49b95e3f621b4069c7ebd63</w:t>
    </w:r>
  </w:p>
  <w:p>
    <w:pPr>
      <w:jc w:val="center"/>
    </w:pPr>
    <w:r>
      <w:rPr>
        <w:b w:val="0"/>
        <w:i/>
        <w:color w:val="33403B"/>
        <w:sz w:val="13"/>
      </w:rPr>
      <w:t>Toute modification ultérieure de la mission, même rétablie, produit une empreinte différente.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33403B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