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12"/>
      </w:tblGrid>
      <w:tr>
        <w:trPr>
          <w:trHeight w:val="14571" w:hRule="atLeast"/>
        </w:trPr>
        <w:tc>
          <w:tcPr>
            <w:tcW w:type="dxa" w:w="9412"/>
            <w:vAlign w:val="center"/>
            <w:shd w:val="clear" w:color="auto" w:fill="04150E"/>
          </w:tcPr>
          <w:p>
            <w:pPr>
              <w:jc w:val="center"/>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4000" cy="684000"/>
                          </a:xfrm>
                          <a:prstGeom prst="rect"/>
                        </pic:spPr>
                      </pic:pic>
                    </a:graphicData>
                  </a:graphic>
                </wp:inline>
              </w:drawing>
            </w:r>
          </w:p>
          <w:p>
            <w:pPr>
              <w:spacing w:before="120"/>
              <w:jc w:val="center"/>
            </w:pPr>
            <w:r>
              <w:rPr>
                <w:b/>
                <w:i w:val="0"/>
                <w:color w:val="FFFFFF"/>
                <w:sz w:val="26"/>
              </w:rPr>
              <w:t>GREEN SHIELD</w:t>
            </w:r>
          </w:p>
          <w:p>
            <w:pPr>
              <w:jc w:val="center"/>
            </w:pPr>
            <w:r>
              <w:rPr>
                <w:b w:val="0"/>
                <w:i/>
                <w:color w:val="7BF3C8"/>
                <w:sz w:val="18"/>
              </w:rPr>
              <w:t>Cabinet non renseigné</w:t>
            </w:r>
          </w:p>
          <w:p>
            <w:pPr>
              <w:spacing w:before="560"/>
              <w:jc w:val="center"/>
            </w:pPr>
            <w:r>
              <w:rPr>
                <w:b/>
                <w:i w:val="0"/>
                <w:color w:val="FFFFFF"/>
                <w:sz w:val="44"/>
              </w:rPr>
              <w:t>Politique de sécurité de l'information (PSSI) &amp; Plan de reprise (PRI)</w:t>
            </w:r>
          </w:p>
          <w:p>
            <w:pPr>
              <w:spacing w:before="120"/>
              <w:jc w:val="center"/>
            </w:pPr>
            <w:r>
              <w:rPr>
                <w:b/>
                <w:i w:val="0"/>
                <w:color w:val="2EE6A0"/>
                <w:sz w:val="28"/>
              </w:rPr>
              <w:t>Vernier Composites SAS</w:t>
            </w:r>
          </w:p>
          <w:p>
            <w:pPr>
              <w:jc w:val="center"/>
            </w:pPr>
            <w:r>
              <w:rPr>
                <w:b w:val="0"/>
                <w:i w:val="0"/>
                <w:color w:val="A8C6BC"/>
                <w:sz w:val="20"/>
              </w:rPr>
              <w:t>Audit de sécurité &amp; analyse de risque EBIOS RM</w:t>
            </w:r>
          </w:p>
          <w:p>
            <w:pPr>
              <w:spacing w:before="400"/>
              <w:jc w:val="center"/>
            </w:pPr>
            <w:r>
              <w:rPr>
                <w:b w:val="0"/>
                <w:i w:val="0"/>
                <w:color w:val="8FB3A8"/>
                <w:sz w:val="17"/>
              </w:rPr>
              <w:t xml:space="preserve">Réf. mission : </w:t>
            </w:r>
            <w:r>
              <w:rPr>
                <w:b/>
                <w:i w:val="0"/>
                <w:color w:val="EAF4F0"/>
                <w:sz w:val="17"/>
              </w:rPr>
              <w:t>audit_de_securite_et_analyse_de_risque_ebios_rm</w:t>
            </w:r>
            <w:r>
              <w:rPr>
                <w:color w:val="3E5A50"/>
              </w:rPr>
              <w:t xml:space="preserve">    ·    </w:t>
            </w:r>
            <w:r>
              <w:rPr>
                <w:b w:val="0"/>
                <w:i w:val="0"/>
                <w:color w:val="8FB3A8"/>
                <w:sz w:val="17"/>
              </w:rPr>
              <w:t xml:space="preserve">Auditeur : </w:t>
            </w:r>
            <w:r>
              <w:rPr>
                <w:b/>
                <w:i w:val="0"/>
                <w:color w:val="EAF4F0"/>
                <w:sz w:val="17"/>
              </w:rPr>
              <w:t>—</w:t>
            </w:r>
            <w:r>
              <w:rPr>
                <w:color w:val="3E5A50"/>
              </w:rPr>
              <w:t xml:space="preserve">    ·    </w:t>
            </w:r>
            <w:r>
              <w:rPr>
                <w:b w:val="0"/>
                <w:i w:val="0"/>
                <w:color w:val="8FB3A8"/>
                <w:sz w:val="17"/>
              </w:rPr>
              <w:t xml:space="preserve">Cabinet : </w:t>
            </w:r>
            <w:r>
              <w:rPr>
                <w:b/>
                <w:i w:val="0"/>
                <w:color w:val="EAF4F0"/>
                <w:sz w:val="17"/>
              </w:rPr>
              <w:t>Cabinet non renseigné</w:t>
            </w:r>
            <w:r>
              <w:rPr>
                <w:color w:val="3E5A50"/>
              </w:rPr>
              <w:t xml:space="preserve">    ·    </w:t>
            </w:r>
            <w:r>
              <w:rPr>
                <w:b w:val="0"/>
                <w:i w:val="0"/>
                <w:color w:val="8FB3A8"/>
                <w:sz w:val="17"/>
              </w:rPr>
              <w:t xml:space="preserve">Édité le : </w:t>
            </w:r>
            <w:r>
              <w:rPr>
                <w:b/>
                <w:i w:val="0"/>
                <w:color w:val="EAF4F0"/>
                <w:sz w:val="17"/>
              </w:rPr>
              <w:t>30/07/2026</w:t>
            </w:r>
          </w:p>
          <w:p>
            <w:pPr>
              <w:spacing w:before="360"/>
              <w:jc w:val="center"/>
            </w:pPr>
            <w:r>
              <w:rPr>
                <w:b/>
                <w:i w:val="0"/>
                <w:color w:val="7BF3C8"/>
                <w:sz w:val="16"/>
              </w:rPr>
              <w:t xml:space="preserve">  DOCUMENT CONFIDENTIEL — DIFFUSION RESTREINTE  </w:t>
            </w:r>
          </w:p>
        </w:tc>
      </w:tr>
    </w:tbl>
    <w:p>
      <w:r>
        <w:br w:type="page"/>
      </w:r>
    </w:p>
    <w:p>
      <w:pPr>
        <w:spacing w:after="160"/>
      </w:pPr>
      <w:r>
        <w:rPr>
          <w:b/>
          <w:i w:val="0"/>
          <w:color w:val="0C2317"/>
          <w:sz w:val="26"/>
        </w:rPr>
        <w:t>Sommaire</w:t>
      </w:r>
    </w:p>
    <w:p>
      <w:pPr>
        <w:spacing w:after="40"/>
      </w:pPr>
      <w:r>
        <w:rPr>
          <w:b w:val="0"/>
          <w:i w:val="0"/>
          <w:color w:val="2EE6A0"/>
          <w:sz w:val="20"/>
        </w:rPr>
        <w:t xml:space="preserve">1.  </w:t>
      </w:r>
      <w:r>
        <w:rPr>
          <w:b w:val="0"/>
          <w:i w:val="0"/>
          <w:color w:val="33403B"/>
          <w:sz w:val="20"/>
        </w:rPr>
        <w:t>I. Politique de sécurité de l'information (PSSI)</w:t>
      </w:r>
    </w:p>
    <w:p>
      <w:pPr>
        <w:spacing w:after="40"/>
      </w:pPr>
      <w:r>
        <w:rPr>
          <w:b w:val="0"/>
          <w:i w:val="0"/>
          <w:color w:val="2EE6A0"/>
          <w:sz w:val="20"/>
        </w:rPr>
        <w:t xml:space="preserve">2.  </w:t>
      </w:r>
      <w:r>
        <w:rPr>
          <w:b w:val="0"/>
          <w:i w:val="0"/>
          <w:color w:val="33403B"/>
          <w:sz w:val="20"/>
        </w:rPr>
        <w:t>II. Plan de reprise informatique &amp; résilience (PRI)</w:t>
      </w:r>
    </w:p>
    <w:p>
      <w:r>
        <w:br w:type="page"/>
      </w:r>
    </w:p>
    <w:p>
      <w:pPr>
        <w:spacing w:before="80" w:after="160"/>
        <w:pBdr>
          <w:bottom w:val="single" w:sz="16" w:space="4" w:color="2EE6A0"/>
        </w:pBdr>
      </w:pPr>
      <w:r>
        <w:rPr>
          <w:b/>
          <w:i w:val="0"/>
          <w:color w:val="2EE6A0"/>
          <w:sz w:val="28"/>
        </w:rPr>
        <w:t xml:space="preserve">1. </w:t>
      </w:r>
      <w:r>
        <w:rPr>
          <w:b/>
          <w:i w:val="0"/>
          <w:color w:val="0C2317"/>
          <w:sz w:val="28"/>
        </w:rPr>
        <w:t>I. Politique de sécurité de l'information (PSSI)</w:t>
      </w:r>
    </w:p>
    <w:p>
      <w:r>
        <w:rPr>
          <w:b w:val="0"/>
          <w:i/>
          <w:color w:val="6B7F78"/>
          <w:sz w:val="18"/>
        </w:rPr>
        <w:t>Aucune section PSSI n'a été rédigée à ce stade.</w:t>
      </w:r>
    </w:p>
    <w:p>
      <w:pPr>
        <w:spacing w:before="400" w:after="160"/>
        <w:pBdr>
          <w:bottom w:val="single" w:sz="16" w:space="4" w:color="2EE6A0"/>
        </w:pBdr>
      </w:pPr>
      <w:r>
        <w:rPr>
          <w:b/>
          <w:i w:val="0"/>
          <w:color w:val="2EE6A0"/>
          <w:sz w:val="28"/>
        </w:rPr>
        <w:t xml:space="preserve">2. </w:t>
      </w:r>
      <w:r>
        <w:rPr>
          <w:b/>
          <w:i w:val="0"/>
          <w:color w:val="0C2317"/>
          <w:sz w:val="28"/>
        </w:rPr>
        <w:t>II. Plan de reprise informatique &amp; résilience (PRI)</w:t>
      </w:r>
    </w:p>
    <w:p>
      <w:pPr>
        <w:spacing w:before="200" w:after="40"/>
      </w:pPr>
      <w:r>
        <w:rPr>
          <w:b/>
          <w:i w:val="0"/>
          <w:color w:val="0C2317"/>
          <w:sz w:val="21"/>
        </w:rPr>
        <w:t>2.1 Indicateurs temporels de continuité</w:t>
      </w:r>
    </w:p>
    <w:tbl>
      <w:tblPr>
        <w:tblW w:type="auto" w:w="0"/>
        <w:jc w:val="left"/>
        <w:tblLayout w:type="fixed"/>
        <w:tblLook w:firstColumn="1" w:firstRow="1" w:lastColumn="0" w:lastRow="0" w:noHBand="0" w:noVBand="1" w:val="04A0"/>
      </w:tblPr>
      <w:tblGrid>
        <w:gridCol w:w="6118"/>
        <w:gridCol w:w="3294"/>
      </w:tblGrid>
      <w:tr>
        <w:tc>
          <w:tcPr>
            <w:tcW w:type="dxa" w:w="6118"/>
            <w:shd w:val="clear" w:color="auto" w:fill="F2FBF7"/>
            <w:tcBorders>
              <w:bottom w:val="single" w:sz="6" w:space="0" w:color="C9DBD3"/>
            </w:tcBorders>
          </w:tcPr>
          <w:p>
            <w:r>
              <w:rPr>
                <w:b/>
                <w:i w:val="0"/>
                <w:color w:val="0C2317"/>
                <w:sz w:val="16"/>
              </w:rPr>
              <w:t>Indicateur</w:t>
            </w:r>
          </w:p>
        </w:tc>
        <w:tc>
          <w:tcPr>
            <w:tcW w:type="dxa" w:w="3294"/>
            <w:shd w:val="clear" w:color="auto" w:fill="F2FBF7"/>
            <w:tcBorders>
              <w:bottom w:val="single" w:sz="6" w:space="0" w:color="C9DBD3"/>
            </w:tcBorders>
          </w:tcPr>
          <w:p>
            <w:r>
              <w:rPr>
                <w:b/>
                <w:i w:val="0"/>
                <w:color w:val="0C2317"/>
                <w:sz w:val="16"/>
              </w:rPr>
              <w:t>Valeur retenue</w:t>
            </w:r>
          </w:p>
        </w:tc>
      </w:tr>
      <w:tr>
        <w:tc>
          <w:tcPr>
            <w:tcW w:type="dxa" w:w="6118"/>
            <w:tcBorders>
              <w:bottom w:val="single" w:sz="4" w:space="0" w:color="DFE7E3"/>
            </w:tcBorders>
          </w:tcPr>
          <w:p>
            <w:r>
              <w:rPr>
                <w:b w:val="0"/>
                <w:i w:val="0"/>
                <w:color w:val="33403B"/>
                <w:sz w:val="18"/>
              </w:rPr>
              <w:t>RTO — temps de reprise maximal</w:t>
            </w:r>
          </w:p>
        </w:tc>
        <w:tc>
          <w:tcPr>
            <w:tcW w:type="dxa" w:w="3294"/>
            <w:tcBorders>
              <w:bottom w:val="single" w:sz="4" w:space="0" w:color="DFE7E3"/>
            </w:tcBorders>
          </w:tcPr>
          <w:p>
            <w:r>
              <w:rPr>
                <w:b w:val="0"/>
                <w:i w:val="0"/>
                <w:color w:val="33403B"/>
                <w:sz w:val="18"/>
              </w:rPr>
              <w:t>24 heures pour la ligne de production, 72 heures pour la bureautique</w:t>
            </w:r>
          </w:p>
        </w:tc>
      </w:tr>
      <w:tr>
        <w:tc>
          <w:tcPr>
            <w:tcW w:type="dxa" w:w="6118"/>
            <w:tcBorders>
              <w:bottom w:val="single" w:sz="4" w:space="0" w:color="DFE7E3"/>
            </w:tcBorders>
          </w:tcPr>
          <w:p>
            <w:r>
              <w:rPr>
                <w:b w:val="0"/>
                <w:i w:val="0"/>
                <w:color w:val="33403B"/>
                <w:sz w:val="18"/>
              </w:rPr>
              <w:t>RPO — perte de données maximale admissible</w:t>
            </w:r>
          </w:p>
        </w:tc>
        <w:tc>
          <w:tcPr>
            <w:tcW w:type="dxa" w:w="3294"/>
            <w:tcBorders>
              <w:bottom w:val="single" w:sz="4" w:space="0" w:color="DFE7E3"/>
            </w:tcBorders>
          </w:tcPr>
          <w:p>
            <w:r>
              <w:rPr>
                <w:b w:val="0"/>
                <w:i w:val="0"/>
                <w:color w:val="33403B"/>
                <w:sz w:val="18"/>
              </w:rPr>
              <w:t>4 heures pour le MES, 24 heures pour les serveurs de fichiers</w:t>
            </w:r>
          </w:p>
        </w:tc>
      </w:tr>
    </w:tbl>
    <w:p/>
    <w:p>
      <w:pPr>
        <w:spacing w:before="200" w:after="40"/>
      </w:pPr>
      <w:r>
        <w:rPr>
          <w:b/>
          <w:i w:val="0"/>
          <w:color w:val="0C2317"/>
          <w:sz w:val="21"/>
        </w:rPr>
        <w:t>2.2 Politique de sauvegarde et d'immuabilité</w:t>
      </w:r>
    </w:p>
    <w:p>
      <w:r>
        <w:rPr>
          <w:b w:val="0"/>
          <w:i w:val="0"/>
          <w:color w:val="33403B"/>
          <w:sz w:val="20"/>
        </w:rPr>
        <w:t>Objectif cible : règle 3-2-1 avec une copie immuable hors site et un test de restauration semestriel documenté. État constaté : sauvegarde quotidienne unique sur NAS secondaire du même VLAN, jamais restaurée en test.</w:t>
      </w:r>
    </w:p>
    <w:p>
      <w:pPr>
        <w:spacing w:before="200" w:after="40"/>
      </w:pPr>
      <w:r>
        <w:rPr>
          <w:b/>
          <w:i w:val="0"/>
          <w:color w:val="0C2317"/>
          <w:sz w:val="21"/>
        </w:rPr>
        <w:t>2.3 Séquence de remédiation en gestion de crise (E3R de l'ANSSI)</w:t>
      </w:r>
    </w:p>
    <w:p>
      <w:pPr>
        <w:spacing w:after="80"/>
      </w:pPr>
      <w:r>
        <w:rPr>
          <w:b w:val="0"/>
          <w:i w:val="0"/>
          <w:color w:val="6B7F78"/>
          <w:sz w:val="18"/>
        </w:rPr>
        <w:t>En cas de compromission majeure de l'Active Directory ou de l'infrastructure cloud :</w:t>
      </w:r>
    </w:p>
    <w:tbl>
      <w:tblPr>
        <w:tblW w:type="auto" w:w="0"/>
        <w:jc w:val="left"/>
        <w:tblLayout w:type="fixed"/>
        <w:tblLook w:firstColumn="1" w:firstRow="1" w:lastColumn="0" w:lastRow="0" w:noHBand="0" w:noVBand="1" w:val="04A0"/>
      </w:tblPr>
      <w:tblGrid>
        <w:gridCol w:w="3012"/>
        <w:gridCol w:w="6400"/>
      </w:tblGrid>
      <w:tr>
        <w:tc>
          <w:tcPr>
            <w:tcW w:type="dxa" w:w="3012"/>
            <w:shd w:val="clear" w:color="auto" w:fill="F2FBF7"/>
            <w:tcBorders>
              <w:bottom w:val="single" w:sz="6" w:space="0" w:color="C9DBD3"/>
            </w:tcBorders>
          </w:tcPr>
          <w:p>
            <w:r>
              <w:rPr>
                <w:b/>
                <w:i w:val="0"/>
                <w:color w:val="0C2317"/>
                <w:sz w:val="16"/>
              </w:rPr>
              <w:t>Étape E3R</w:t>
            </w:r>
          </w:p>
        </w:tc>
        <w:tc>
          <w:tcPr>
            <w:tcW w:type="dxa" w:w="6400"/>
            <w:shd w:val="clear" w:color="auto" w:fill="F2FBF7"/>
            <w:tcBorders>
              <w:bottom w:val="single" w:sz="6" w:space="0" w:color="C9DBD3"/>
            </w:tcBorders>
          </w:tcPr>
          <w:p>
            <w:r>
              <w:rPr>
                <w:b/>
                <w:i w:val="0"/>
                <w:color w:val="0C2317"/>
                <w:sz w:val="16"/>
              </w:rPr>
              <w:t>Procédure retenue</w:t>
            </w:r>
          </w:p>
        </w:tc>
      </w:tr>
      <w:tr>
        <w:tc>
          <w:tcPr>
            <w:tcW w:type="dxa" w:w="3012"/>
            <w:tcBorders>
              <w:bottom w:val="single" w:sz="4" w:space="0" w:color="DFE7E3"/>
            </w:tcBorders>
          </w:tcPr>
          <w:p>
            <w:r>
              <w:rPr>
                <w:b w:val="0"/>
                <w:i w:val="0"/>
                <w:color w:val="33403B"/>
                <w:sz w:val="18"/>
              </w:rPr>
              <w:t>Endiguement (contenir l'attaquant)</w:t>
            </w:r>
          </w:p>
        </w:tc>
        <w:tc>
          <w:tcPr>
            <w:tcW w:type="dxa" w:w="6400"/>
            <w:tcBorders>
              <w:bottom w:val="single" w:sz="4" w:space="0" w:color="DFE7E3"/>
            </w:tcBorders>
          </w:tcPr>
          <w:p>
            <w:r>
              <w:rPr>
                <w:b w:val="0"/>
                <w:i w:val="0"/>
                <w:color w:val="33403B"/>
                <w:sz w:val="18"/>
              </w:rPr>
              <w:t>Isolement immédiat du VLAN production par coupure des liens inter-VLAN sur le cœur de réseau, arrêt contrôlé des fours selon la procédure de sécurité matière, déconnexion du VPN prestataires.</w:t>
            </w:r>
          </w:p>
        </w:tc>
      </w:tr>
      <w:tr>
        <w:tc>
          <w:tcPr>
            <w:tcW w:type="dxa" w:w="3012"/>
            <w:tcBorders>
              <w:bottom w:val="single" w:sz="4" w:space="0" w:color="DFE7E3"/>
            </w:tcBorders>
          </w:tcPr>
          <w:p>
            <w:r>
              <w:rPr>
                <w:b w:val="0"/>
                <w:i w:val="0"/>
                <w:color w:val="33403B"/>
                <w:sz w:val="18"/>
              </w:rPr>
              <w:t>Éviction (reprendre le contrôle du cœur de confiance)</w:t>
            </w:r>
          </w:p>
        </w:tc>
        <w:tc>
          <w:tcPr>
            <w:tcW w:type="dxa" w:w="6400"/>
            <w:tcBorders>
              <w:bottom w:val="single" w:sz="4" w:space="0" w:color="DFE7E3"/>
            </w:tcBorders>
          </w:tcPr>
          <w:p>
            <w:r>
              <w:rPr>
                <w:b w:val="0"/>
                <w:i w:val="0"/>
                <w:color w:val="33403B"/>
                <w:sz w:val="18"/>
              </w:rPr>
              <w:t>Réinitialisation du compte krbtgt à deux reprises, révocation de tous les accès prestataires, réinitialisation des mots de passe des 12 comptes à privilèges, blocage des règles de transfert de messagerie créées durant l'incident.</w:t>
            </w:r>
          </w:p>
        </w:tc>
      </w:tr>
      <w:tr>
        <w:tc>
          <w:tcPr>
            <w:tcW w:type="dxa" w:w="3012"/>
            <w:tcBorders>
              <w:bottom w:val="single" w:sz="4" w:space="0" w:color="DFE7E3"/>
            </w:tcBorders>
          </w:tcPr>
          <w:p>
            <w:r>
              <w:rPr>
                <w:b w:val="0"/>
                <w:i w:val="0"/>
                <w:color w:val="33403B"/>
                <w:sz w:val="18"/>
              </w:rPr>
              <w:t>Éradication (nettoyage en profondeur)</w:t>
            </w:r>
          </w:p>
        </w:tc>
        <w:tc>
          <w:tcPr>
            <w:tcW w:type="dxa" w:w="6400"/>
            <w:tcBorders>
              <w:bottom w:val="single" w:sz="4" w:space="0" w:color="DFE7E3"/>
            </w:tcBorders>
          </w:tcPr>
          <w:p>
            <w:r>
              <w:rPr>
                <w:b w:val="0"/>
                <w:i w:val="0"/>
                <w:color w:val="33403B"/>
                <w:sz w:val="18"/>
              </w:rPr>
              <w:t>Analyse hors ligne des deux contrôleurs de domaine, reconstruction plutôt que nettoyage en cas de doute, recherche des tâches planifiées et services persistants sur l'ensemble du parc, suppression des comptes dormants.</w:t>
            </w:r>
          </w:p>
        </w:tc>
      </w:tr>
      <w:tr>
        <w:tc>
          <w:tcPr>
            <w:tcW w:type="dxa" w:w="3012"/>
            <w:tcBorders>
              <w:bottom w:val="single" w:sz="4" w:space="0" w:color="DFE7E3"/>
            </w:tcBorders>
          </w:tcPr>
          <w:p>
            <w:r>
              <w:rPr>
                <w:b w:val="0"/>
                <w:i w:val="0"/>
                <w:color w:val="33403B"/>
                <w:sz w:val="18"/>
              </w:rPr>
              <w:t>Reconstruction (rebâtir dès la conception)</w:t>
            </w:r>
          </w:p>
        </w:tc>
        <w:tc>
          <w:tcPr>
            <w:tcW w:type="dxa" w:w="6400"/>
            <w:tcBorders>
              <w:bottom w:val="single" w:sz="4" w:space="0" w:color="DFE7E3"/>
            </w:tcBorders>
          </w:tcPr>
          <w:p>
            <w:r>
              <w:rPr>
                <w:b w:val="0"/>
                <w:i w:val="0"/>
                <w:color w:val="33403B"/>
                <w:sz w:val="18"/>
              </w:rPr>
              <w:t>Remontée de l'AD depuis une sauvegarde antérieure à la compromission, reconstruction des postes depuis un master durci, remise en service par vagues avec surveillance renforcée pendant 30 jours, retour d'expérience formalisé sous 15 jours.</w:t>
            </w:r>
          </w:p>
        </w:tc>
      </w:tr>
    </w:tbl>
    <w:p/>
    <w:p>
      <w:pPr>
        <w:spacing w:before="200" w:after="40"/>
      </w:pPr>
      <w:r>
        <w:rPr>
          <w:b/>
          <w:i w:val="0"/>
          <w:color w:val="0C2317"/>
          <w:sz w:val="21"/>
        </w:rPr>
        <w:t>2.4 Volet stratégique — arbitrage Direction</w:t>
      </w:r>
    </w:p>
    <w:p>
      <w:r>
        <w:rPr>
          <w:b w:val="0"/>
          <w:i/>
          <w:color w:val="6B7F78"/>
          <w:sz w:val="18"/>
        </w:rPr>
        <w:t>Le volet stratégique (arbitrage Direction) n'a pas été documenté.</w:t>
      </w:r>
    </w:p>
    <w:p>
      <w:pPr>
        <w:spacing w:before="400" w:after="160"/>
        <w:pBdr>
          <w:bottom w:val="single" w:sz="16" w:space="4" w:color="2EE6A0"/>
        </w:pBdr>
      </w:pPr>
      <w:r>
        <w:rPr>
          <w:b/>
          <w:i w:val="0"/>
          <w:color w:val="0C2317"/>
          <w:sz w:val="26"/>
        </w:rPr>
        <w:t>Signatures pour homologation de sécurité</w:t>
      </w:r>
    </w:p>
    <w:tbl>
      <w:tblPr>
        <w:tblW w:type="auto" w:w="0"/>
        <w:jc w:val="left"/>
        <w:tblLayout w:type="fixed"/>
        <w:tblLook w:firstColumn="1" w:firstRow="1" w:lastColumn="0" w:lastRow="0" w:noHBand="0" w:noVBand="1" w:val="04A0"/>
      </w:tblPr>
      <w:tblGrid>
        <w:gridCol w:w="4706"/>
        <w:gridCol w:w="4706"/>
      </w:tblGrid>
      <w:tr>
        <w:tc>
          <w:tcPr>
            <w:tcW w:type="dxa" w:w="4706"/>
            <w:shd w:val="clear" w:color="auto" w:fill="F2FBF7"/>
            <w:tcBorders>
              <w:bottom w:val="single" w:sz="6" w:space="0" w:color="C9DBD3"/>
            </w:tcBorders>
          </w:tcPr>
          <w:p>
            <w:r>
              <w:rPr>
                <w:b/>
                <w:i w:val="0"/>
                <w:color w:val="0C2317"/>
                <w:sz w:val="16"/>
              </w:rPr>
              <w:t>Pour Cabinet non renseigné</w:t>
            </w:r>
          </w:p>
        </w:tc>
        <w:tc>
          <w:tcPr>
            <w:tcW w:type="dxa" w:w="4706"/>
            <w:shd w:val="clear" w:color="auto" w:fill="F2FBF7"/>
            <w:tcBorders>
              <w:bottom w:val="single" w:sz="6" w:space="0" w:color="C9DBD3"/>
            </w:tcBorders>
          </w:tcPr>
          <w:p>
            <w:r>
              <w:rPr>
                <w:b/>
                <w:i w:val="0"/>
                <w:color w:val="0C2317"/>
                <w:sz w:val="16"/>
              </w:rPr>
              <w:t>Pour la Direction de Vernier Composites SAS</w:t>
            </w:r>
          </w:p>
        </w:tc>
      </w:tr>
      <w:tr>
        <w:tc>
          <w:tcPr>
            <w:tcW w:type="dxa" w:w="4706"/>
            <w:tcBorders>
              <w:bottom w:val="single" w:sz="4" w:space="0" w:color="DFE7E3"/>
            </w:tcBorders>
          </w:tcPr>
          <w:p>
            <w:r>
              <w:rPr>
                <w:b w:val="0"/>
                <w:i w:val="0"/>
                <w:color w:val="33403B"/>
                <w:sz w:val="18"/>
              </w:rPr>
              <w:t>Consultant</w:t>
            </w:r>
          </w:p>
        </w:tc>
        <w:tc>
          <w:tcPr>
            <w:tcW w:type="dxa" w:w="4706"/>
            <w:tcBorders>
              <w:bottom w:val="single" w:sz="4" w:space="0" w:color="DFE7E3"/>
            </w:tcBorders>
          </w:tcPr>
          <w:p>
            <w:r>
              <w:rPr>
                <w:b w:val="0"/>
                <w:i w:val="0"/>
                <w:color w:val="33403B"/>
                <w:sz w:val="18"/>
              </w:rPr>
              <w:t>Directeur Général / RSSI</w:t>
            </w:r>
          </w:p>
        </w:tc>
      </w:tr>
      <w:tr>
        <w:tc>
          <w:tcPr>
            <w:tcW w:type="dxa" w:w="4706"/>
            <w:tcBorders>
              <w:bottom w:val="single" w:sz="4" w:space="0" w:color="DFE7E3"/>
            </w:tcBorders>
          </w:tcPr>
          <w:p>
            <w:r>
              <w:rPr>
                <w:b w:val="0"/>
                <w:i w:val="0"/>
                <w:color w:val="33403B"/>
                <w:sz w:val="18"/>
              </w:rPr>
              <w:t>Signature :</w:t>
            </w:r>
          </w:p>
        </w:tc>
        <w:tc>
          <w:tcPr>
            <w:tcW w:type="dxa" w:w="4706"/>
            <w:tcBorders>
              <w:bottom w:val="single" w:sz="4" w:space="0" w:color="DFE7E3"/>
            </w:tcBorders>
          </w:tcPr>
          <w:p>
            <w:r>
              <w:rPr>
                <w:b w:val="0"/>
                <w:i w:val="0"/>
                <w:color w:val="33403B"/>
                <w:sz w:val="18"/>
              </w:rPr>
              <w:t>Signature :</w:t>
            </w:r>
          </w:p>
        </w:tc>
      </w:tr>
    </w:tbl>
    <w:p/>
    <w:sectPr w:rsidR="00FC693F" w:rsidRPr="0006063C" w:rsidSect="00034616">
      <w:footerReference w:type="default" r:id="rId10"/>
      <w:pgSz w:w="11906" w:h="16838"/>
      <w:pgMar w:top="90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33403B"/>
        <w:sz w:val="14"/>
      </w:rPr>
      <w:t>GREEN SHIELD — Cabinet non renseigné · Document confidentiel, ne pas diffuser sans autorisation écrite.</w:t>
    </w:r>
  </w:p>
  <w:p>
    <w:pPr>
      <w:jc w:val="center"/>
    </w:pPr>
    <w:r>
      <w:rPr>
        <w:b w:val="0"/>
        <w:i w:val="0"/>
        <w:color w:val="33403B"/>
        <w:sz w:val="13"/>
      </w:rPr>
      <w:t>Empreinte SHA-256 de l'état de la mission à l'édition : b74a86b53875b57c1a939c4a3399b4add2a26263c49b95e3f621b4069c7ebd63</w:t>
    </w:r>
  </w:p>
  <w:p>
    <w:pPr>
      <w:jc w:val="center"/>
    </w:pPr>
    <w:r>
      <w:rPr>
        <w:b w:val="0"/>
        <w:i/>
        <w:color w:val="33403B"/>
        <w:sz w:val="13"/>
      </w:rPr>
      <w:t>Toute modification ultérieure de la mission, même rétablie, produit une empreinte différente.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