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14571" w:hRule="atLeast"/>
        </w:trPr>
        <w:tc>
          <w:tcPr>
            <w:tcW w:type="dxa" w:w="9412"/>
            <w:vAlign w:val="center"/>
            <w:shd w:val="clear" w:color="auto" w:fill="04150E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FFFFFF"/>
                <w:sz w:val="26"/>
              </w:rPr>
              <w:t>GREEN SHIELD</w:t>
            </w:r>
          </w:p>
          <w:p>
            <w:pPr>
              <w:jc w:val="center"/>
            </w:pPr>
            <w:r>
              <w:rPr>
                <w:b w:val="0"/>
                <w:i/>
                <w:color w:val="7BF3C8"/>
                <w:sz w:val="18"/>
              </w:rPr>
              <w:t>Cabinet non renseigné</w:t>
            </w:r>
          </w:p>
          <w:p>
            <w:pPr>
              <w:spacing w:before="560"/>
              <w:jc w:val="center"/>
            </w:pPr>
            <w:r>
              <w:rPr>
                <w:b/>
                <w:i w:val="0"/>
                <w:color w:val="FFFFFF"/>
                <w:sz w:val="44"/>
              </w:rPr>
              <w:t>Analyse d'impact relative à la protection des données (AIPD / PIA)</w:t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2EE6A0"/>
                <w:sz w:val="28"/>
              </w:rPr>
              <w:t>Vernier Composites SAS</w:t>
            </w:r>
          </w:p>
          <w:p>
            <w:pPr>
              <w:jc w:val="center"/>
            </w:pPr>
            <w:r>
              <w:rPr>
                <w:b w:val="0"/>
                <w:i w:val="0"/>
                <w:color w:val="A8C6BC"/>
                <w:sz w:val="20"/>
              </w:rPr>
              <w:t>Audit de sécurité &amp; analyse de risque EBIOS RM</w:t>
            </w:r>
          </w:p>
          <w:p>
            <w:pPr>
              <w:spacing w:before="400"/>
              <w:jc w:val="center"/>
            </w:pPr>
            <w:r>
              <w:rPr>
                <w:b w:val="0"/>
                <w:i w:val="0"/>
                <w:color w:val="8FB3A8"/>
                <w:sz w:val="17"/>
              </w:rPr>
              <w:t xml:space="preserve">Réf. mission : </w:t>
            </w:r>
            <w:r>
              <w:rPr>
                <w:b/>
                <w:i w:val="0"/>
                <w:color w:val="EAF4F0"/>
                <w:sz w:val="17"/>
              </w:rPr>
              <w:t>audit_de_securite_et_analyse_de_risque_ebios_rm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DPO : </w:t>
            </w:r>
            <w:r>
              <w:rPr>
                <w:b/>
                <w:i w:val="0"/>
                <w:color w:val="EAF4F0"/>
                <w:sz w:val="17"/>
              </w:rPr>
              <w:t>Enregistré au registre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Auditeur : </w:t>
            </w:r>
            <w:r>
              <w:rPr>
                <w:b/>
                <w:i w:val="0"/>
                <w:color w:val="EAF4F0"/>
                <w:sz w:val="17"/>
              </w:rPr>
              <w:t>—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Cabinet : </w:t>
            </w:r>
            <w:r>
              <w:rPr>
                <w:b/>
                <w:i w:val="0"/>
                <w:color w:val="EAF4F0"/>
                <w:sz w:val="17"/>
              </w:rPr>
              <w:t>Cabinet non renseigné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Édité le : </w:t>
            </w:r>
            <w:r>
              <w:rPr>
                <w:b/>
                <w:i w:val="0"/>
                <w:color w:val="EAF4F0"/>
                <w:sz w:val="17"/>
              </w:rPr>
              <w:t>30/07/2026</w:t>
            </w:r>
          </w:p>
          <w:p>
            <w:pPr>
              <w:spacing w:before="360"/>
              <w:jc w:val="center"/>
            </w:pPr>
            <w:r>
              <w:rPr>
                <w:b/>
                <w:i w:val="0"/>
                <w:color w:val="7BF3C8"/>
                <w:sz w:val="16"/>
              </w:rPr>
              <w:t xml:space="preserve">  DOCUMENT CONFIDENTIEL — DIFFUSION RESTREINTE  </w:t>
            </w:r>
          </w:p>
        </w:tc>
      </w:tr>
    </w:tbl>
    <w:p>
      <w:r>
        <w:br w:type="page"/>
      </w:r>
    </w:p>
    <w:p>
      <w:pPr>
        <w:spacing w:after="160"/>
      </w:pPr>
      <w:r>
        <w:rPr>
          <w:b/>
          <w:i w:val="0"/>
          <w:color w:val="0C2317"/>
          <w:sz w:val="26"/>
        </w:rPr>
        <w:t>Sommaire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1.  </w:t>
      </w:r>
      <w:r>
        <w:rPr>
          <w:b w:val="0"/>
          <w:i w:val="0"/>
          <w:color w:val="33403B"/>
          <w:sz w:val="20"/>
        </w:rPr>
        <w:t>Registre des activités de traitement (RGPD Art. 30)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2.  </w:t>
      </w:r>
      <w:r>
        <w:rPr>
          <w:b w:val="0"/>
          <w:i w:val="0"/>
          <w:color w:val="33403B"/>
          <w:sz w:val="20"/>
        </w:rPr>
        <w:t>Analyse d'impact systématique (PIA)</w:t>
      </w:r>
    </w:p>
    <w:p>
      <w:pPr>
        <w:spacing w:after="40"/>
      </w:pPr>
      <w:r>
        <w:rPr>
          <w:b w:val="0"/>
          <w:i w:val="0"/>
          <w:color w:val="2EE6A0"/>
          <w:sz w:val="20"/>
        </w:rPr>
        <w:t xml:space="preserve">3.  </w:t>
      </w:r>
      <w:r>
        <w:rPr>
          <w:b w:val="0"/>
          <w:i w:val="0"/>
          <w:color w:val="33403B"/>
          <w:sz w:val="20"/>
        </w:rPr>
        <w:t>Obligations organisationnelles (conduite de l'AIPD)</w:t>
      </w:r>
    </w:p>
    <w:p>
      <w:r>
        <w:br w:type="page"/>
      </w:r>
    </w:p>
    <w:p>
      <w:pPr>
        <w:spacing w:before="8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1. </w:t>
      </w:r>
      <w:r>
        <w:rPr>
          <w:b/>
          <w:i w:val="0"/>
          <w:color w:val="0C2317"/>
          <w:sz w:val="28"/>
        </w:rPr>
        <w:t>Registre des activités de traitement (RGPD Art. 30)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0"/>
        <w:gridCol w:w="2035"/>
        <w:gridCol w:w="2544"/>
        <w:gridCol w:w="2289"/>
        <w:gridCol w:w="1653"/>
      </w:tblGrid>
      <w:tr>
        <w:tc>
          <w:tcPr>
            <w:tcW w:type="dxa" w:w="890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ID</w:t>
            </w:r>
          </w:p>
        </w:tc>
        <w:tc>
          <w:tcPr>
            <w:tcW w:type="dxa" w:w="2035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Activité de traitement</w:t>
            </w:r>
          </w:p>
        </w:tc>
        <w:tc>
          <w:tcPr>
            <w:tcW w:type="dxa" w:w="2544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Finalité</w:t>
            </w:r>
          </w:p>
        </w:tc>
        <w:tc>
          <w:tcPr>
            <w:tcW w:type="dxa" w:w="2289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Catégories de données</w:t>
            </w:r>
          </w:p>
        </w:tc>
        <w:tc>
          <w:tcPr>
            <w:tcW w:type="dxa" w:w="1653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Conservation</w:t>
            </w:r>
          </w:p>
        </w:tc>
      </w:tr>
      <w:tr>
        <w:tc>
          <w:tcPr>
            <w:tcW w:type="dxa" w:w="89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RGPD-01</w:t>
            </w:r>
          </w:p>
        </w:tc>
        <w:tc>
          <w:tcPr>
            <w:tcW w:type="dxa" w:w="203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Gestion administrative du personnel</w:t>
            </w:r>
          </w:p>
        </w:tc>
        <w:tc>
          <w:tcPr>
            <w:tcW w:type="dxa" w:w="254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Exécution du contrat de travail, paie, obligations sociales.</w:t>
            </w:r>
          </w:p>
        </w:tc>
        <w:tc>
          <w:tcPr>
            <w:tcW w:type="dxa" w:w="2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Identité, coordonnées, RIB, situation familiale, arrêts de travail</w:t>
            </w:r>
          </w:p>
        </w:tc>
        <w:tc>
          <w:tcPr>
            <w:tcW w:type="dxa" w:w="165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Durée du contrat + 5 ans (prescription prud'homale)</w:t>
            </w:r>
          </w:p>
        </w:tc>
      </w:tr>
      <w:tr>
        <w:tc>
          <w:tcPr>
            <w:tcW w:type="dxa" w:w="89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RGPD-02</w:t>
            </w:r>
          </w:p>
        </w:tc>
        <w:tc>
          <w:tcPr>
            <w:tcW w:type="dxa" w:w="203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Vidéoprotection des accès ateliers</w:t>
            </w:r>
          </w:p>
        </w:tc>
        <w:tc>
          <w:tcPr>
            <w:tcW w:type="dxa" w:w="254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Sécurité des personnes et protection du secret industriel.</w:t>
            </w:r>
          </w:p>
        </w:tc>
        <w:tc>
          <w:tcPr>
            <w:tcW w:type="dxa" w:w="2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Images des salariés et visiteurs aux 6 points d'accès</w:t>
            </w:r>
          </w:p>
        </w:tc>
        <w:tc>
          <w:tcPr>
            <w:tcW w:type="dxa" w:w="165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30 jours</w:t>
            </w:r>
          </w:p>
        </w:tc>
      </w:tr>
      <w:tr>
        <w:tc>
          <w:tcPr>
            <w:tcW w:type="dxa" w:w="890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RGPD-03</w:t>
            </w:r>
          </w:p>
        </w:tc>
        <w:tc>
          <w:tcPr>
            <w:tcW w:type="dxa" w:w="2035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Suivi de la santé au travail</w:t>
            </w:r>
          </w:p>
        </w:tc>
        <w:tc>
          <w:tcPr>
            <w:tcW w:type="dxa" w:w="2544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Suivi des expositions aux résines époxy (obligation employeur).</w:t>
            </w:r>
          </w:p>
        </w:tc>
        <w:tc>
          <w:tcPr>
            <w:tcW w:type="dxa" w:w="2289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Données de santé, résultats d'examens médicaux</w:t>
            </w:r>
          </w:p>
        </w:tc>
        <w:tc>
          <w:tcPr>
            <w:tcW w:type="dxa" w:w="1653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40 ans après la fin d'exposition (Code du travail)</w:t>
            </w:r>
          </w:p>
        </w:tc>
      </w:tr>
    </w:tbl>
    <w:p/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2. </w:t>
      </w:r>
      <w:r>
        <w:rPr>
          <w:b/>
          <w:i w:val="0"/>
          <w:color w:val="0C2317"/>
          <w:sz w:val="28"/>
        </w:rPr>
        <w:t>Analyse d'impact systématique (PIA)</w:t>
      </w:r>
    </w:p>
    <w:p>
      <w:pPr>
        <w:spacing w:before="200" w:after="40"/>
      </w:pPr>
      <w:r>
        <w:rPr>
          <w:b/>
          <w:i w:val="0"/>
          <w:color w:val="0C2317"/>
          <w:sz w:val="21"/>
        </w:rPr>
        <w:t>2.1 Description systématique du traitement</w:t>
      </w:r>
    </w:p>
    <w:p>
      <w:pPr>
        <w:spacing w:after="120"/>
      </w:pPr>
      <w:r>
        <w:rPr>
          <w:b w:val="0"/>
          <w:i w:val="0"/>
          <w:color w:val="33403B"/>
          <w:sz w:val="20"/>
        </w:rPr>
        <w:t>Vidéoprotection continue des 6 accès aux ateliers et au laboratoire R&amp;D, avec conservation 30 jours et consultation restreinte à deux personnes habilitées. Finalité double : sécurité des personnes (machines dangereuses) et protection du secret industriel.</w:t>
      </w:r>
    </w:p>
    <w:p>
      <w:pPr>
        <w:spacing w:before="200" w:after="40"/>
      </w:pPr>
      <w:r>
        <w:rPr>
          <w:b/>
          <w:i w:val="0"/>
          <w:color w:val="0C2317"/>
          <w:sz w:val="21"/>
        </w:rPr>
        <w:t>2.2 Évaluation de la nécessité et de la proportionnalité</w:t>
      </w:r>
    </w:p>
    <w:p>
      <w:pPr>
        <w:spacing w:after="120"/>
      </w:pPr>
      <w:r>
        <w:rPr>
          <w:b w:val="0"/>
          <w:i w:val="0"/>
          <w:color w:val="33403B"/>
          <w:sz w:val="20"/>
        </w:rPr>
        <w:t>La protection du secret industriel justifie un contrôle des accès au laboratoire, mais la vidéoprotection continue des postes de travail en atelier excède ce qui est nécessaire : le champ des caméras 3 et 4 a été réduit aux seules zones de passage, et l'enregistrement audio désactivé.</w:t>
      </w:r>
    </w:p>
    <w:p>
      <w:pPr>
        <w:spacing w:before="200" w:after="40"/>
      </w:pPr>
      <w:r>
        <w:rPr>
          <w:b/>
          <w:i w:val="0"/>
          <w:color w:val="0C2317"/>
          <w:sz w:val="21"/>
        </w:rPr>
        <w:t>2.3 Évaluation des risques sur les droits et libertés des personnes</w:t>
      </w:r>
    </w:p>
    <w:p>
      <w:pPr>
        <w:spacing w:after="120"/>
      </w:pPr>
      <w:r>
        <w:rPr>
          <w:b w:val="0"/>
          <w:i w:val="0"/>
          <w:color w:val="33403B"/>
          <w:sz w:val="20"/>
        </w:rPr>
        <w:t>Origine : accès illégitime d'un tiers au NVR, exposé sur le même VLAN que la bureautique. Risque : surveillance permanente de salariés identifiables (gravité Élevée, vraisemblance Moyenne au vu de l'absence de segmentation). Impact sur les personnes : sentiment de surveillance constante, détournement possible à des fins disciplinaires.</w:t>
      </w:r>
    </w:p>
    <w:p>
      <w:pPr>
        <w:spacing w:before="200" w:after="40"/>
      </w:pPr>
      <w:r>
        <w:rPr>
          <w:b/>
          <w:i w:val="0"/>
          <w:color w:val="0C2317"/>
          <w:sz w:val="21"/>
        </w:rPr>
        <w:t>2.4 Mesures de traitement et de sécurité envisagées (atténuation)</w:t>
      </w:r>
    </w:p>
    <w:p>
      <w:pPr>
        <w:spacing w:after="120"/>
      </w:pPr>
      <w:r>
        <w:rPr>
          <w:b w:val="0"/>
          <w:i w:val="0"/>
          <w:color w:val="33403B"/>
          <w:sz w:val="20"/>
        </w:rPr>
        <w:t>Segmentation du NVR sur un VLAN dédié, authentification nominative des deux habilités avec journalisation des consultations, réduction du champ des caméras 3 et 4, affichage et information des salariés, consultation du CSE actée en séance du 12/06/2026.</w:t>
      </w:r>
    </w:p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2EE6A0"/>
          <w:sz w:val="28"/>
        </w:rPr>
        <w:t xml:space="preserve">3. </w:t>
      </w:r>
      <w:r>
        <w:rPr>
          <w:b/>
          <w:i w:val="0"/>
          <w:color w:val="0C2317"/>
          <w:sz w:val="28"/>
        </w:rPr>
        <w:t>Obligations organisationnelles (conduite de l'AIPD)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36"/>
        <w:gridCol w:w="1822"/>
        <w:gridCol w:w="1518"/>
        <w:gridCol w:w="3036"/>
      </w:tblGrid>
      <w:tr>
        <w:tc>
          <w:tcPr>
            <w:tcW w:type="dxa" w:w="303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Obligation</w:t>
            </w:r>
          </w:p>
        </w:tc>
        <w:tc>
          <w:tcPr>
            <w:tcW w:type="dxa" w:w="1822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Référence</w:t>
            </w:r>
          </w:p>
        </w:tc>
        <w:tc>
          <w:tcPr>
            <w:tcW w:type="dxa" w:w="1518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État</w:t>
            </w:r>
          </w:p>
        </w:tc>
        <w:tc>
          <w:tcPr>
            <w:tcW w:type="dxa" w:w="303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Commentaire</w:t>
            </w:r>
          </w:p>
        </w:tc>
      </w:tr>
      <w:tr>
        <w:tc>
          <w:tcPr>
            <w:tcW w:type="dxa" w:w="303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Avis du délégué à la protection des données recueilli</w:t>
            </w:r>
          </w:p>
        </w:tc>
        <w:tc>
          <w:tcPr>
            <w:tcW w:type="dxa" w:w="182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RGPD Art. 35 §2</w:t>
            </w:r>
          </w:p>
        </w:tc>
        <w:tc>
          <w:tcPr>
            <w:tcW w:type="dxa" w:w="151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Fait</w:t>
            </w:r>
          </w:p>
        </w:tc>
        <w:tc>
          <w:tcPr>
            <w:tcW w:type="dxa" w:w="303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DPO externe mutualisé — avis favorable rendu le 18/06/2026 sous réserve de la réduction du champ des caméras.</w:t>
            </w:r>
          </w:p>
        </w:tc>
      </w:tr>
      <w:tr>
        <w:tc>
          <w:tcPr>
            <w:tcW w:type="dxa" w:w="303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Avis des personnes concernées recueilli (ou motif de non-consultation)</w:t>
            </w:r>
          </w:p>
        </w:tc>
        <w:tc>
          <w:tcPr>
            <w:tcW w:type="dxa" w:w="182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RGPD Art. 35 §9</w:t>
            </w:r>
          </w:p>
        </w:tc>
        <w:tc>
          <w:tcPr>
            <w:tcW w:type="dxa" w:w="151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Fait</w:t>
            </w:r>
          </w:p>
        </w:tc>
        <w:tc>
          <w:tcPr>
            <w:tcW w:type="dxa" w:w="303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CSE consulté le 12/06/2026, avis favorable ; note d'information remise aux 204 salariés.</w:t>
            </w:r>
          </w:p>
        </w:tc>
      </w:tr>
      <w:tr>
        <w:tc>
          <w:tcPr>
            <w:tcW w:type="dxa" w:w="303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Confrontation aux listes CNIL des traitements soumis / exemptés</w:t>
            </w:r>
          </w:p>
        </w:tc>
        <w:tc>
          <w:tcPr>
            <w:tcW w:type="dxa" w:w="182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RGPD Art. 35 §4-5</w:t>
            </w:r>
          </w:p>
        </w:tc>
        <w:tc>
          <w:tcPr>
            <w:tcW w:type="dxa" w:w="151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Fait</w:t>
            </w:r>
          </w:p>
        </w:tc>
        <w:tc>
          <w:tcPr>
            <w:tcW w:type="dxa" w:w="303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Traitement figurant sur la liste CNIL des traitements soumis à AIPD (surveillance systématique de personnes sur un lieu de travail).</w:t>
            </w:r>
          </w:p>
        </w:tc>
      </w:tr>
      <w:tr>
        <w:tc>
          <w:tcPr>
            <w:tcW w:type="dxa" w:w="303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Réexamen prévu à chaque évolution du niveau de risque</w:t>
            </w:r>
          </w:p>
        </w:tc>
        <w:tc>
          <w:tcPr>
            <w:tcW w:type="dxa" w:w="182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RGPD Art. 35 §11</w:t>
            </w:r>
          </w:p>
        </w:tc>
        <w:tc>
          <w:tcPr>
            <w:tcW w:type="dxa" w:w="151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Fait</w:t>
            </w:r>
          </w:p>
        </w:tc>
        <w:tc>
          <w:tcPr>
            <w:tcW w:type="dxa" w:w="303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Réexamen déclenché par tout ajout de caméra, toute extension de durée de conservation, ou au plus tard le 30/06/2028.</w:t>
            </w:r>
          </w:p>
        </w:tc>
      </w:tr>
      <w:tr>
        <w:tc>
          <w:tcPr>
            <w:tcW w:type="dxa" w:w="303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Consultation préalable de la CNIL avant mise en œuvre</w:t>
            </w:r>
          </w:p>
        </w:tc>
        <w:tc>
          <w:tcPr>
            <w:tcW w:type="dxa" w:w="1822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RGPD Art. 36 §1</w:t>
            </w:r>
          </w:p>
        </w:tc>
        <w:tc>
          <w:tcPr>
            <w:tcW w:type="dxa" w:w="1518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Non applicable (risque résiduel non élevé)</w:t>
            </w:r>
          </w:p>
        </w:tc>
        <w:tc>
          <w:tcPr>
            <w:tcW w:type="dxa" w:w="303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—</w:t>
            </w:r>
          </w:p>
        </w:tc>
      </w:tr>
    </w:tbl>
    <w:p/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0C2317"/>
          <w:sz w:val="26"/>
        </w:rPr>
        <w:t>Signature de validation conformité CNIL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Avis du Délégué à la Protection des Données (DPO)</w:t>
            </w:r>
          </w:p>
        </w:tc>
        <w:tc>
          <w:tcPr>
            <w:tcW w:type="dxa" w:w="470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Validation du Responsable du Traitement</w:t>
            </w:r>
          </w:p>
        </w:tc>
      </w:tr>
      <w:tr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Avis favorable / non favorable</w:t>
            </w:r>
          </w:p>
        </w:tc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Validé pour mise en œuvre</w:t>
            </w:r>
          </w:p>
        </w:tc>
      </w:tr>
      <w:tr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Signature :</w:t>
            </w:r>
          </w:p>
        </w:tc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Signature :</w:t>
            </w:r>
          </w:p>
        </w:tc>
      </w:tr>
    </w:tbl>
    <w:p/>
    <w:sectPr w:rsidR="00FC693F" w:rsidRPr="0006063C" w:rsidSect="00034616">
      <w:footerReference w:type="default" r:id="rId10"/>
      <w:pgSz w:w="11906" w:h="16838"/>
      <w:pgMar w:top="90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33403B"/>
        <w:sz w:val="14"/>
      </w:rPr>
      <w:t>GREEN SHIELD — Cabinet non renseigné · Document confidentiel, ne pas diffuser sans autorisation écrite.</w:t>
    </w:r>
  </w:p>
  <w:p>
    <w:pPr>
      <w:jc w:val="center"/>
    </w:pPr>
    <w:r>
      <w:rPr>
        <w:b w:val="0"/>
        <w:i w:val="0"/>
        <w:color w:val="33403B"/>
        <w:sz w:val="13"/>
      </w:rPr>
      <w:t>Empreinte SHA-256 de l'état de la mission à l'édition : b74a86b53875b57c1a939c4a3399b4add2a26263c49b95e3f621b4069c7ebd63</w:t>
    </w:r>
  </w:p>
  <w:p>
    <w:pPr>
      <w:jc w:val="center"/>
    </w:pPr>
    <w:r>
      <w:rPr>
        <w:b w:val="0"/>
        <w:i/>
        <w:color w:val="33403B"/>
        <w:sz w:val="13"/>
      </w:rPr>
      <w:t>Toute modification ultérieure de la mission, même rétablie, produit une empreinte différente.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