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412"/>
      </w:tblGrid>
      <w:tr>
        <w:trPr>
          <w:trHeight w:val="14571" w:hRule="atLeast"/>
        </w:trPr>
        <w:tc>
          <w:tcPr>
            <w:tcW w:type="dxa" w:w="9412"/>
            <w:vAlign w:val="center"/>
            <w:shd w:val="clear" w:color="auto" w:fill="04150E"/>
          </w:tcPr>
          <w:p>
            <w:pPr>
              <w:jc w:val="center"/>
            </w:pPr>
            <w:r>
              <w:drawing>
                <wp:inline xmlns:a="http://schemas.openxmlformats.org/drawingml/2006/main" xmlns:pic="http://schemas.openxmlformats.org/drawingml/2006/picture">
                  <wp:extent cx="684000" cy="684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84000" cy="684000"/>
                          </a:xfrm>
                          <a:prstGeom prst="rect"/>
                        </pic:spPr>
                      </pic:pic>
                    </a:graphicData>
                  </a:graphic>
                </wp:inline>
              </w:drawing>
            </w:r>
          </w:p>
          <w:p>
            <w:pPr>
              <w:spacing w:before="120"/>
              <w:jc w:val="center"/>
            </w:pPr>
            <w:r>
              <w:rPr>
                <w:b/>
                <w:i w:val="0"/>
                <w:color w:val="FFFFFF"/>
                <w:sz w:val="26"/>
              </w:rPr>
              <w:t>GREEN SHIELD</w:t>
            </w:r>
          </w:p>
          <w:p>
            <w:pPr>
              <w:jc w:val="center"/>
            </w:pPr>
            <w:r>
              <w:rPr>
                <w:b w:val="0"/>
                <w:i/>
                <w:color w:val="7BF3C8"/>
                <w:sz w:val="18"/>
              </w:rPr>
              <w:t>Cabinet non renseigné</w:t>
            </w:r>
          </w:p>
          <w:p>
            <w:pPr>
              <w:spacing w:before="560"/>
              <w:jc w:val="center"/>
            </w:pPr>
            <w:r>
              <w:rPr>
                <w:b/>
                <w:i w:val="0"/>
                <w:color w:val="FFFFFF"/>
                <w:sz w:val="44"/>
              </w:rPr>
              <w:t>Rapport d'audit de sécurité et d'analyse de risque</w:t>
            </w:r>
          </w:p>
          <w:p>
            <w:pPr>
              <w:spacing w:before="120"/>
              <w:jc w:val="center"/>
            </w:pPr>
            <w:r>
              <w:rPr>
                <w:b/>
                <w:i w:val="0"/>
                <w:color w:val="2EE6A0"/>
                <w:sz w:val="28"/>
              </w:rPr>
              <w:t>Vernier Composites SAS</w:t>
            </w:r>
          </w:p>
          <w:p>
            <w:pPr>
              <w:jc w:val="center"/>
            </w:pPr>
            <w:r>
              <w:rPr>
                <w:b w:val="0"/>
                <w:i w:val="0"/>
                <w:color w:val="A8C6BC"/>
                <w:sz w:val="20"/>
              </w:rPr>
              <w:t>Audit de sécurité &amp; analyse de risque EBIOS RM</w:t>
            </w:r>
          </w:p>
          <w:p>
            <w:pPr>
              <w:spacing w:before="400"/>
              <w:jc w:val="center"/>
            </w:pPr>
            <w:r>
              <w:rPr>
                <w:b w:val="0"/>
                <w:i w:val="0"/>
                <w:color w:val="8FB3A8"/>
                <w:sz w:val="17"/>
              </w:rPr>
              <w:t xml:space="preserve">Réf. mission : </w:t>
            </w:r>
            <w:r>
              <w:rPr>
                <w:b/>
                <w:i w:val="0"/>
                <w:color w:val="EAF4F0"/>
                <w:sz w:val="17"/>
              </w:rPr>
              <w:t>audit_de_securite_et_analyse_de_risque_ebios_rm</w:t>
            </w:r>
            <w:r>
              <w:rPr>
                <w:color w:val="3E5A50"/>
              </w:rPr>
              <w:t xml:space="preserve">    ·    </w:t>
            </w:r>
            <w:r>
              <w:rPr>
                <w:b w:val="0"/>
                <w:i w:val="0"/>
                <w:color w:val="8FB3A8"/>
                <w:sz w:val="17"/>
              </w:rPr>
              <w:t xml:space="preserve">Méthode : </w:t>
            </w:r>
            <w:r>
              <w:rPr>
                <w:b/>
                <w:i w:val="0"/>
                <w:color w:val="EAF4F0"/>
                <w:sz w:val="17"/>
              </w:rPr>
              <w:t>EBIOS RM · ANSSI</w:t>
            </w:r>
            <w:r>
              <w:rPr>
                <w:color w:val="3E5A50"/>
              </w:rPr>
              <w:t xml:space="preserve">    ·    </w:t>
            </w:r>
            <w:r>
              <w:rPr>
                <w:b w:val="0"/>
                <w:i w:val="0"/>
                <w:color w:val="8FB3A8"/>
                <w:sz w:val="17"/>
              </w:rPr>
              <w:t xml:space="preserve">Budget vendu : </w:t>
            </w:r>
            <w:r>
              <w:rPr>
                <w:b/>
                <w:i w:val="0"/>
                <w:color w:val="EAF4F0"/>
                <w:sz w:val="17"/>
              </w:rPr>
              <w:t>18 jours</w:t>
            </w:r>
            <w:r>
              <w:rPr>
                <w:color w:val="3E5A50"/>
              </w:rPr>
              <w:t xml:space="preserve">    ·    </w:t>
            </w:r>
            <w:r>
              <w:rPr>
                <w:b w:val="0"/>
                <w:i w:val="0"/>
                <w:color w:val="8FB3A8"/>
                <w:sz w:val="17"/>
              </w:rPr>
              <w:t xml:space="preserve">Auditeur : </w:t>
            </w:r>
            <w:r>
              <w:rPr>
                <w:b/>
                <w:i w:val="0"/>
                <w:color w:val="EAF4F0"/>
                <w:sz w:val="17"/>
              </w:rPr>
              <w:t>—</w:t>
            </w:r>
            <w:r>
              <w:rPr>
                <w:color w:val="3E5A50"/>
              </w:rPr>
              <w:t xml:space="preserve">    ·    </w:t>
            </w:r>
            <w:r>
              <w:rPr>
                <w:b w:val="0"/>
                <w:i w:val="0"/>
                <w:color w:val="8FB3A8"/>
                <w:sz w:val="17"/>
              </w:rPr>
              <w:t xml:space="preserve">Cabinet : </w:t>
            </w:r>
            <w:r>
              <w:rPr>
                <w:b/>
                <w:i w:val="0"/>
                <w:color w:val="EAF4F0"/>
                <w:sz w:val="17"/>
              </w:rPr>
              <w:t>Cabinet non renseigné</w:t>
            </w:r>
            <w:r>
              <w:rPr>
                <w:color w:val="3E5A50"/>
              </w:rPr>
              <w:t xml:space="preserve">    ·    </w:t>
            </w:r>
            <w:r>
              <w:rPr>
                <w:b w:val="0"/>
                <w:i w:val="0"/>
                <w:color w:val="8FB3A8"/>
                <w:sz w:val="17"/>
              </w:rPr>
              <w:t xml:space="preserve">Édition : </w:t>
            </w:r>
            <w:r>
              <w:rPr>
                <w:b/>
                <w:i w:val="0"/>
                <w:color w:val="EAF4F0"/>
                <w:sz w:val="17"/>
              </w:rPr>
              <w:t>30/07/2026</w:t>
            </w:r>
          </w:p>
          <w:p>
            <w:pPr>
              <w:spacing w:before="360"/>
              <w:jc w:val="center"/>
            </w:pPr>
            <w:r>
              <w:rPr>
                <w:b/>
                <w:i w:val="0"/>
                <w:color w:val="7BF3C8"/>
                <w:sz w:val="16"/>
              </w:rPr>
              <w:t xml:space="preserve">  DOCUMENT CONFIDENTIEL — DIFFUSION RESTREINTE  </w:t>
            </w:r>
          </w:p>
        </w:tc>
      </w:tr>
    </w:tbl>
    <w:p>
      <w:r>
        <w:br w:type="page"/>
      </w:r>
    </w:p>
    <w:p>
      <w:pPr>
        <w:spacing w:after="160"/>
      </w:pPr>
      <w:r>
        <w:rPr>
          <w:b/>
          <w:i w:val="0"/>
          <w:color w:val="0C2317"/>
          <w:sz w:val="26"/>
        </w:rPr>
        <w:t>Sommaire</w:t>
      </w:r>
    </w:p>
    <w:p>
      <w:pPr>
        <w:spacing w:after="40"/>
      </w:pPr>
      <w:r>
        <w:rPr>
          <w:b w:val="0"/>
          <w:i w:val="0"/>
          <w:color w:val="2EE6A0"/>
          <w:sz w:val="20"/>
        </w:rPr>
        <w:t xml:space="preserve">1.  </w:t>
      </w:r>
      <w:r>
        <w:rPr>
          <w:b w:val="0"/>
          <w:i w:val="0"/>
          <w:color w:val="33403B"/>
          <w:sz w:val="20"/>
        </w:rPr>
        <w:t>Synthèse à destination de la direction</w:t>
      </w:r>
    </w:p>
    <w:p>
      <w:pPr>
        <w:spacing w:after="40"/>
      </w:pPr>
      <w:r>
        <w:rPr>
          <w:b w:val="0"/>
          <w:i w:val="0"/>
          <w:color w:val="2EE6A0"/>
          <w:sz w:val="20"/>
        </w:rPr>
        <w:t xml:space="preserve">2.  </w:t>
      </w:r>
      <w:r>
        <w:rPr>
          <w:b w:val="0"/>
          <w:i w:val="0"/>
          <w:color w:val="33403B"/>
          <w:sz w:val="20"/>
        </w:rPr>
        <w:t>Cadrage de la mission</w:t>
      </w:r>
    </w:p>
    <w:p>
      <w:pPr>
        <w:spacing w:after="40"/>
      </w:pPr>
      <w:r>
        <w:rPr>
          <w:b w:val="0"/>
          <w:i w:val="0"/>
          <w:color w:val="2EE6A0"/>
          <w:sz w:val="20"/>
        </w:rPr>
        <w:t xml:space="preserve">3.  </w:t>
      </w:r>
      <w:r>
        <w:rPr>
          <w:b w:val="0"/>
          <w:i w:val="0"/>
          <w:color w:val="33403B"/>
          <w:sz w:val="20"/>
        </w:rPr>
        <w:t>Patrimoine évalué</w:t>
      </w:r>
    </w:p>
    <w:p>
      <w:pPr>
        <w:spacing w:after="40"/>
      </w:pPr>
      <w:r>
        <w:rPr>
          <w:b w:val="0"/>
          <w:i w:val="0"/>
          <w:color w:val="2EE6A0"/>
          <w:sz w:val="20"/>
        </w:rPr>
        <w:t xml:space="preserve">4.  </w:t>
      </w:r>
      <w:r>
        <w:rPr>
          <w:b w:val="0"/>
          <w:i w:val="0"/>
          <w:color w:val="33403B"/>
          <w:sz w:val="20"/>
        </w:rPr>
        <w:t>Protection des données personnelles</w:t>
      </w:r>
    </w:p>
    <w:p>
      <w:pPr>
        <w:spacing w:after="40"/>
      </w:pPr>
      <w:r>
        <w:rPr>
          <w:b w:val="0"/>
          <w:i w:val="0"/>
          <w:color w:val="2EE6A0"/>
          <w:sz w:val="20"/>
        </w:rPr>
        <w:t xml:space="preserve">5.  </w:t>
      </w:r>
      <w:r>
        <w:rPr>
          <w:b w:val="0"/>
          <w:i w:val="0"/>
          <w:color w:val="33403B"/>
          <w:sz w:val="20"/>
        </w:rPr>
        <w:t>Analyse de risque</w:t>
      </w:r>
    </w:p>
    <w:p>
      <w:pPr>
        <w:spacing w:after="40"/>
      </w:pPr>
      <w:r>
        <w:rPr>
          <w:b w:val="0"/>
          <w:i w:val="0"/>
          <w:color w:val="2EE6A0"/>
          <w:sz w:val="20"/>
        </w:rPr>
        <w:t xml:space="preserve">6.  </w:t>
      </w:r>
      <w:r>
        <w:rPr>
          <w:b w:val="0"/>
          <w:i w:val="0"/>
          <w:color w:val="33403B"/>
          <w:sz w:val="20"/>
        </w:rPr>
        <w:t>Écosystème et risques tiers</w:t>
      </w:r>
    </w:p>
    <w:p>
      <w:pPr>
        <w:spacing w:after="40"/>
      </w:pPr>
      <w:r>
        <w:rPr>
          <w:b w:val="0"/>
          <w:i w:val="0"/>
          <w:color w:val="2EE6A0"/>
          <w:sz w:val="20"/>
        </w:rPr>
        <w:t xml:space="preserve">7.  </w:t>
      </w:r>
      <w:r>
        <w:rPr>
          <w:b w:val="0"/>
          <w:i w:val="0"/>
          <w:color w:val="33403B"/>
          <w:sz w:val="20"/>
        </w:rPr>
        <w:t>Résilience et continuité</w:t>
      </w:r>
    </w:p>
    <w:p>
      <w:pPr>
        <w:spacing w:after="40"/>
      </w:pPr>
      <w:r>
        <w:rPr>
          <w:b w:val="0"/>
          <w:i w:val="0"/>
          <w:color w:val="2EE6A0"/>
          <w:sz w:val="20"/>
        </w:rPr>
        <w:t xml:space="preserve">8.  </w:t>
      </w:r>
      <w:r>
        <w:rPr>
          <w:b w:val="0"/>
          <w:i w:val="0"/>
          <w:color w:val="33403B"/>
          <w:sz w:val="20"/>
        </w:rPr>
        <w:t>Évaluation organisationnelle</w:t>
      </w:r>
    </w:p>
    <w:p>
      <w:pPr>
        <w:spacing w:after="40"/>
      </w:pPr>
      <w:r>
        <w:rPr>
          <w:b w:val="0"/>
          <w:i w:val="0"/>
          <w:color w:val="2EE6A0"/>
          <w:sz w:val="20"/>
        </w:rPr>
        <w:t xml:space="preserve">9.  </w:t>
      </w:r>
      <w:r>
        <w:rPr>
          <w:b w:val="0"/>
          <w:i w:val="0"/>
          <w:color w:val="33403B"/>
          <w:sz w:val="20"/>
        </w:rPr>
        <w:t>Évaluation technique des configurations</w:t>
      </w:r>
    </w:p>
    <w:p>
      <w:pPr>
        <w:spacing w:after="40"/>
      </w:pPr>
      <w:r>
        <w:rPr>
          <w:b w:val="0"/>
          <w:i w:val="0"/>
          <w:color w:val="2EE6A0"/>
          <w:sz w:val="20"/>
        </w:rPr>
        <w:t xml:space="preserve">10.  </w:t>
      </w:r>
      <w:r>
        <w:rPr>
          <w:b w:val="0"/>
          <w:i w:val="0"/>
          <w:color w:val="33403B"/>
          <w:sz w:val="20"/>
        </w:rPr>
        <w:t>Rattachement aux référentiels (CIS v8 / NIST CSF 2.0)</w:t>
      </w:r>
    </w:p>
    <w:p>
      <w:pPr>
        <w:spacing w:after="40"/>
      </w:pPr>
      <w:r>
        <w:rPr>
          <w:b w:val="0"/>
          <w:i w:val="0"/>
          <w:color w:val="2EE6A0"/>
          <w:sz w:val="20"/>
        </w:rPr>
        <w:t xml:space="preserve">11.  </w:t>
      </w:r>
      <w:r>
        <w:rPr>
          <w:b w:val="0"/>
          <w:i w:val="0"/>
          <w:color w:val="33403B"/>
          <w:sz w:val="20"/>
        </w:rPr>
        <w:t>Plan de traitement</w:t>
      </w:r>
    </w:p>
    <w:p>
      <w:pPr>
        <w:spacing w:after="40"/>
      </w:pPr>
      <w:r>
        <w:rPr>
          <w:b w:val="0"/>
          <w:i w:val="0"/>
          <w:color w:val="2EE6A0"/>
          <w:sz w:val="20"/>
        </w:rPr>
        <w:t xml:space="preserve">12.  </w:t>
      </w:r>
      <w:r>
        <w:rPr>
          <w:b w:val="0"/>
          <w:i w:val="0"/>
          <w:color w:val="33403B"/>
          <w:sz w:val="20"/>
        </w:rPr>
        <w:t>Charges consommées</w:t>
      </w:r>
    </w:p>
    <w:p>
      <w:pPr>
        <w:spacing w:after="40"/>
      </w:pPr>
      <w:r>
        <w:rPr>
          <w:b w:val="0"/>
          <w:i w:val="0"/>
          <w:color w:val="2EE6A0"/>
          <w:sz w:val="20"/>
        </w:rPr>
        <w:t xml:space="preserve">13.  </w:t>
      </w:r>
      <w:r>
        <w:rPr>
          <w:b w:val="0"/>
          <w:i w:val="0"/>
          <w:color w:val="33403B"/>
          <w:sz w:val="20"/>
        </w:rPr>
        <w:t>Réserves et limites</w:t>
      </w:r>
    </w:p>
    <w:p>
      <w:pPr>
        <w:spacing w:after="40"/>
      </w:pPr>
      <w:r>
        <w:rPr>
          <w:b w:val="0"/>
          <w:i w:val="0"/>
          <w:color w:val="2EE6A0"/>
          <w:sz w:val="20"/>
        </w:rPr>
        <w:t xml:space="preserve">14.  </w:t>
      </w:r>
      <w:r>
        <w:rPr>
          <w:b w:val="0"/>
          <w:i w:val="0"/>
          <w:color w:val="33403B"/>
          <w:sz w:val="20"/>
        </w:rPr>
        <w:t>Certifications et signatures</w:t>
      </w:r>
    </w:p>
    <w:p>
      <w:r>
        <w:br w:type="page"/>
      </w:r>
    </w:p>
    <w:p>
      <w:pPr>
        <w:spacing w:before="80" w:after="160"/>
        <w:pBdr>
          <w:bottom w:val="single" w:sz="16" w:space="4" w:color="2EE6A0"/>
        </w:pBdr>
      </w:pPr>
      <w:r>
        <w:rPr>
          <w:b/>
          <w:i w:val="0"/>
          <w:color w:val="2EE6A0"/>
          <w:sz w:val="28"/>
        </w:rPr>
        <w:t xml:space="preserve">1. </w:t>
      </w:r>
      <w:r>
        <w:rPr>
          <w:b/>
          <w:i w:val="0"/>
          <w:color w:val="0C2317"/>
          <w:sz w:val="28"/>
        </w:rPr>
        <w:t>Synthèse à destination de la direction</w:t>
      </w:r>
    </w:p>
    <w:p>
      <w:pPr>
        <w:spacing w:after="120"/>
      </w:pPr>
      <w:r>
        <w:rPr>
          <w:b w:val="0"/>
          <w:i w:val="0"/>
          <w:color w:val="33403B"/>
          <w:sz w:val="22"/>
        </w:rPr>
        <w:t>Vernier Composites présente une exposition élevée sur deux actifs non substituables : la ligne de production (38 k€/jour ouvré) et les formulations R&amp;D, non brevetées. Trois écarts expliquent l'essentiel du risque : le réseau industriel n'est pas séparé du réseau bureautique, les sauvegardes résident sur le même VLAN que la production et n'ont jamais été restaurées en test, et le prestataire de maintenance dispose d'un accès VPN permanent sans authentification forte. Aucun ne demande d'investissement lourd : les trois relèvent de configuration et de procédure. Le MFA et la sortie d'une copie de sauvegarde du VLAN de production sont réalisables sous quinze jours.</w:t>
      </w:r>
    </w:p>
    <w:p>
      <w:pPr>
        <w:spacing w:before="400" w:after="160"/>
        <w:pBdr>
          <w:bottom w:val="single" w:sz="16" w:space="4" w:color="2EE6A0"/>
        </w:pBdr>
      </w:pPr>
      <w:r>
        <w:rPr>
          <w:b/>
          <w:i w:val="0"/>
          <w:color w:val="2EE6A0"/>
          <w:sz w:val="28"/>
        </w:rPr>
        <w:t xml:space="preserve">2. </w:t>
      </w:r>
      <w:r>
        <w:rPr>
          <w:b/>
          <w:i w:val="0"/>
          <w:color w:val="0C2317"/>
          <w:sz w:val="28"/>
        </w:rPr>
        <w:t>Cadrage de la mission</w:t>
      </w:r>
    </w:p>
    <w:tbl>
      <w:tblPr>
        <w:tblW w:type="auto" w:w="0"/>
        <w:jc w:val="left"/>
        <w:tblLayout w:type="fixed"/>
        <w:tblLook w:firstColumn="1" w:firstRow="1" w:lastColumn="0" w:lastRow="0" w:noHBand="0" w:noVBand="1" w:val="04A0"/>
      </w:tblPr>
      <w:tblGrid>
        <w:gridCol w:w="2852"/>
        <w:gridCol w:w="6560"/>
      </w:tblGrid>
      <w:tr>
        <w:tc>
          <w:tcPr>
            <w:tcW w:type="dxa" w:w="2852"/>
            <w:shd w:val="clear" w:color="auto" w:fill="F2FBF7"/>
            <w:tcBorders>
              <w:bottom w:val="single" w:sz="6" w:space="0" w:color="C9DBD3"/>
            </w:tcBorders>
          </w:tcPr>
          <w:p>
            <w:r>
              <w:rPr>
                <w:b/>
                <w:i w:val="0"/>
                <w:color w:val="0C2317"/>
                <w:sz w:val="16"/>
              </w:rPr>
              <w:t>Élément de cadrage</w:t>
            </w:r>
          </w:p>
        </w:tc>
        <w:tc>
          <w:tcPr>
            <w:tcW w:type="dxa" w:w="6560"/>
            <w:shd w:val="clear" w:color="auto" w:fill="F2FBF7"/>
            <w:tcBorders>
              <w:bottom w:val="single" w:sz="6" w:space="0" w:color="C9DBD3"/>
            </w:tcBorders>
          </w:tcPr>
          <w:p>
            <w:r>
              <w:rPr>
                <w:b/>
                <w:i w:val="0"/>
                <w:color w:val="0C2317"/>
                <w:sz w:val="16"/>
              </w:rPr>
              <w:t>Contenu</w:t>
            </w:r>
          </w:p>
        </w:tc>
      </w:tr>
      <w:tr>
        <w:tc>
          <w:tcPr>
            <w:tcW w:type="dxa" w:w="2852"/>
            <w:tcBorders>
              <w:bottom w:val="single" w:sz="4" w:space="0" w:color="DFE7E3"/>
            </w:tcBorders>
          </w:tcPr>
          <w:p>
            <w:r>
              <w:rPr>
                <w:b w:val="0"/>
                <w:i w:val="0"/>
                <w:color w:val="33403B"/>
                <w:sz w:val="18"/>
              </w:rPr>
              <w:t>Déclencheur de la mission</w:t>
            </w:r>
          </w:p>
        </w:tc>
        <w:tc>
          <w:tcPr>
            <w:tcW w:type="dxa" w:w="6560"/>
            <w:tcBorders>
              <w:bottom w:val="single" w:sz="4" w:space="0" w:color="DFE7E3"/>
            </w:tcBorders>
          </w:tcPr>
          <w:p>
            <w:r>
              <w:rPr>
                <w:b w:val="0"/>
                <w:i w:val="0"/>
                <w:color w:val="33403B"/>
                <w:sz w:val="18"/>
              </w:rPr>
              <w:t>Exigence de sécurité du donneur d'ordre aéronautique inscrite au renouvellement de contrat 2027, doublée d'une tentative de rançongiciel évitée en mars 2026.</w:t>
            </w:r>
          </w:p>
        </w:tc>
      </w:tr>
      <w:tr>
        <w:tc>
          <w:tcPr>
            <w:tcW w:type="dxa" w:w="2852"/>
            <w:tcBorders>
              <w:bottom w:val="single" w:sz="4" w:space="0" w:color="DFE7E3"/>
            </w:tcBorders>
          </w:tcPr>
          <w:p>
            <w:r>
              <w:rPr>
                <w:b w:val="0"/>
                <w:i w:val="0"/>
                <w:color w:val="33403B"/>
                <w:sz w:val="18"/>
              </w:rPr>
              <w:t>Sponsor exécutif</w:t>
            </w:r>
          </w:p>
        </w:tc>
        <w:tc>
          <w:tcPr>
            <w:tcW w:type="dxa" w:w="6560"/>
            <w:tcBorders>
              <w:bottom w:val="single" w:sz="4" w:space="0" w:color="DFE7E3"/>
            </w:tcBorders>
          </w:tcPr>
          <w:p>
            <w:r>
              <w:rPr>
                <w:b w:val="0"/>
                <w:i w:val="0"/>
                <w:color w:val="33403B"/>
                <w:sz w:val="18"/>
              </w:rPr>
              <w:t>Directeur Général (mandat direct, arbitrage budgétaire sans passage COMEX)</w:t>
            </w:r>
          </w:p>
        </w:tc>
      </w:tr>
      <w:tr>
        <w:tc>
          <w:tcPr>
            <w:tcW w:type="dxa" w:w="2852"/>
            <w:tcBorders>
              <w:bottom w:val="single" w:sz="4" w:space="0" w:color="DFE7E3"/>
            </w:tcBorders>
          </w:tcPr>
          <w:p>
            <w:r>
              <w:rPr>
                <w:b w:val="0"/>
                <w:i w:val="0"/>
                <w:color w:val="33403B"/>
                <w:sz w:val="18"/>
              </w:rPr>
              <w:t>Budget vendu</w:t>
            </w:r>
          </w:p>
        </w:tc>
        <w:tc>
          <w:tcPr>
            <w:tcW w:type="dxa" w:w="6560"/>
            <w:tcBorders>
              <w:bottom w:val="single" w:sz="4" w:space="0" w:color="DFE7E3"/>
            </w:tcBorders>
          </w:tcPr>
          <w:p>
            <w:r>
              <w:rPr>
                <w:b w:val="0"/>
                <w:i w:val="0"/>
                <w:color w:val="33403B"/>
                <w:sz w:val="18"/>
              </w:rPr>
              <w:t>18 jours</w:t>
            </w:r>
          </w:p>
        </w:tc>
      </w:tr>
      <w:tr>
        <w:tc>
          <w:tcPr>
            <w:tcW w:type="dxa" w:w="2852"/>
            <w:tcBorders>
              <w:bottom w:val="single" w:sz="4" w:space="0" w:color="DFE7E3"/>
            </w:tcBorders>
          </w:tcPr>
          <w:p>
            <w:r>
              <w:rPr>
                <w:b w:val="0"/>
                <w:i w:val="0"/>
                <w:color w:val="33403B"/>
                <w:sz w:val="18"/>
              </w:rPr>
              <w:t>Maturité constatée à l'entrée</w:t>
            </w:r>
          </w:p>
        </w:tc>
        <w:tc>
          <w:tcPr>
            <w:tcW w:type="dxa" w:w="6560"/>
            <w:tcBorders>
              <w:bottom w:val="single" w:sz="4" w:space="0" w:color="DFE7E3"/>
            </w:tcBorders>
          </w:tcPr>
          <w:p>
            <w:r>
              <w:rPr>
                <w:b w:val="0"/>
                <w:i w:val="0"/>
                <w:color w:val="33403B"/>
                <w:sz w:val="18"/>
              </w:rPr>
              <w:t>Faible à moyenne : sauvegardes existantes mais non testées, aucune PSSI, aucun référent sécurité, réseau OT non segmenté.</w:t>
            </w:r>
          </w:p>
        </w:tc>
      </w:tr>
      <w:tr>
        <w:tc>
          <w:tcPr>
            <w:tcW w:type="dxa" w:w="2852"/>
            <w:tcBorders>
              <w:bottom w:val="single" w:sz="4" w:space="0" w:color="DFE7E3"/>
            </w:tcBorders>
          </w:tcPr>
          <w:p>
            <w:r>
              <w:rPr>
                <w:b w:val="0"/>
                <w:i w:val="0"/>
                <w:color w:val="33403B"/>
                <w:sz w:val="18"/>
              </w:rPr>
              <w:t>Équipe interne mobilisable</w:t>
            </w:r>
          </w:p>
        </w:tc>
        <w:tc>
          <w:tcPr>
            <w:tcW w:type="dxa" w:w="6560"/>
            <w:tcBorders>
              <w:bottom w:val="single" w:sz="4" w:space="0" w:color="DFE7E3"/>
            </w:tcBorders>
          </w:tcPr>
          <w:p>
            <w:r>
              <w:rPr>
                <w:b w:val="0"/>
                <w:i w:val="0"/>
                <w:color w:val="33403B"/>
                <w:sz w:val="18"/>
              </w:rPr>
              <w:t>1 responsable infrastructure (0,3 ETP mobilisable), 1 technicien support, prestataire externe pour la maintenance des automates.</w:t>
            </w:r>
          </w:p>
        </w:tc>
      </w:tr>
      <w:tr>
        <w:tc>
          <w:tcPr>
            <w:tcW w:type="dxa" w:w="2852"/>
            <w:tcBorders>
              <w:bottom w:val="single" w:sz="4" w:space="0" w:color="DFE7E3"/>
            </w:tcBorders>
          </w:tcPr>
          <w:p>
            <w:r>
              <w:rPr>
                <w:b w:val="0"/>
                <w:i w:val="0"/>
                <w:color w:val="33403B"/>
                <w:sz w:val="18"/>
              </w:rPr>
              <w:t>Échéance cible</w:t>
            </w:r>
          </w:p>
        </w:tc>
        <w:tc>
          <w:tcPr>
            <w:tcW w:type="dxa" w:w="6560"/>
            <w:tcBorders>
              <w:bottom w:val="single" w:sz="4" w:space="0" w:color="DFE7E3"/>
            </w:tcBorders>
          </w:tcPr>
          <w:p>
            <w:r>
              <w:rPr>
                <w:b w:val="0"/>
                <w:i w:val="0"/>
                <w:color w:val="33403B"/>
                <w:sz w:val="18"/>
              </w:rPr>
              <w:t>2026-11-30 (revue de sécurité du donneur d'ordre)</w:t>
            </w:r>
          </w:p>
        </w:tc>
      </w:tr>
      <w:tr>
        <w:tc>
          <w:tcPr>
            <w:tcW w:type="dxa" w:w="2852"/>
            <w:tcBorders>
              <w:bottom w:val="single" w:sz="4" w:space="0" w:color="DFE7E3"/>
            </w:tcBorders>
          </w:tcPr>
          <w:p>
            <w:r>
              <w:rPr>
                <w:b w:val="0"/>
                <w:i w:val="0"/>
                <w:color w:val="33403B"/>
                <w:sz w:val="18"/>
              </w:rPr>
              <w:t>Périmètre inclus</w:t>
            </w:r>
          </w:p>
        </w:tc>
        <w:tc>
          <w:tcPr>
            <w:tcW w:type="dxa" w:w="6560"/>
            <w:tcBorders>
              <w:bottom w:val="single" w:sz="4" w:space="0" w:color="DFE7E3"/>
            </w:tcBorders>
          </w:tcPr>
          <w:p>
            <w:r>
              <w:rPr>
                <w:b w:val="0"/>
                <w:i w:val="0"/>
                <w:color w:val="33403B"/>
                <w:sz w:val="18"/>
              </w:rPr>
              <w:t>SI bureautique et industriel du site de Saint-Étienne, incluant AD, MES, automates de cuisson, NAS R&amp;D, messagerie M365 et sauvegardes.</w:t>
            </w:r>
          </w:p>
        </w:tc>
      </w:tr>
      <w:tr>
        <w:tc>
          <w:tcPr>
            <w:tcW w:type="dxa" w:w="2852"/>
            <w:tcBorders>
              <w:bottom w:val="single" w:sz="4" w:space="0" w:color="DFE7E3"/>
            </w:tcBorders>
          </w:tcPr>
          <w:p>
            <w:r>
              <w:rPr>
                <w:b w:val="0"/>
                <w:i w:val="0"/>
                <w:color w:val="33403B"/>
                <w:sz w:val="18"/>
              </w:rPr>
              <w:t>Périmètre explicitement exclu</w:t>
            </w:r>
          </w:p>
        </w:tc>
        <w:tc>
          <w:tcPr>
            <w:tcW w:type="dxa" w:w="6560"/>
            <w:tcBorders>
              <w:bottom w:val="single" w:sz="4" w:space="0" w:color="DFE7E3"/>
            </w:tcBorders>
          </w:tcPr>
          <w:p>
            <w:r>
              <w:rPr>
                <w:b w:val="0"/>
                <w:i w:val="0"/>
                <w:color w:val="33403B"/>
                <w:sz w:val="18"/>
              </w:rPr>
              <w:t>Filiale allemande (SI distinct), SI commercial en SaaS, tests d'intrusion sur les automates en production (risque matière), audit du code embarqué.</w:t>
            </w:r>
          </w:p>
        </w:tc>
      </w:tr>
      <w:tr>
        <w:tc>
          <w:tcPr>
            <w:tcW w:type="dxa" w:w="2852"/>
            <w:tcBorders>
              <w:bottom w:val="single" w:sz="4" w:space="0" w:color="DFE7E3"/>
            </w:tcBorders>
          </w:tcPr>
          <w:p>
            <w:r>
              <w:rPr>
                <w:b w:val="0"/>
                <w:i w:val="0"/>
                <w:color w:val="33403B"/>
                <w:sz w:val="18"/>
              </w:rPr>
              <w:t>Modalités d'intervention</w:t>
            </w:r>
          </w:p>
        </w:tc>
        <w:tc>
          <w:tcPr>
            <w:tcW w:type="dxa" w:w="6560"/>
            <w:tcBorders>
              <w:bottom w:val="single" w:sz="4" w:space="0" w:color="DFE7E3"/>
            </w:tcBorders>
          </w:tcPr>
          <w:p>
            <w:r>
              <w:rPr>
                <w:b w:val="0"/>
                <w:i w:val="0"/>
                <w:color w:val="33403B"/>
                <w:sz w:val="18"/>
              </w:rPr>
              <w:t>Mission en 4 phases sur 10 semaines, 3 déplacements sur site, points d'avancement hebdomadaires en visioconférence de 30 minutes.</w:t>
            </w:r>
          </w:p>
        </w:tc>
      </w:tr>
      <w:tr>
        <w:tc>
          <w:tcPr>
            <w:tcW w:type="dxa" w:w="2852"/>
            <w:tcBorders>
              <w:bottom w:val="single" w:sz="4" w:space="0" w:color="DFE7E3"/>
            </w:tcBorders>
          </w:tcPr>
          <w:p>
            <w:r>
              <w:rPr>
                <w:b w:val="0"/>
                <w:i w:val="0"/>
                <w:color w:val="33403B"/>
                <w:sz w:val="18"/>
              </w:rPr>
              <w:t>Accès au SI consentis</w:t>
            </w:r>
          </w:p>
        </w:tc>
        <w:tc>
          <w:tcPr>
            <w:tcW w:type="dxa" w:w="6560"/>
            <w:tcBorders>
              <w:bottom w:val="single" w:sz="4" w:space="0" w:color="DFE7E3"/>
            </w:tcBorders>
          </w:tcPr>
          <w:p>
            <w:r>
              <w:rPr>
                <w:b w:val="0"/>
                <w:i w:val="0"/>
                <w:color w:val="33403B"/>
                <w:sz w:val="18"/>
              </w:rPr>
              <w:t>Compte nominatif en lecture seule sur l'AD, accès physique aux ateliers accompagné, export des configurations pare-feu fourni par le client. Aucun accès administrateur.</w:t>
            </w:r>
          </w:p>
        </w:tc>
      </w:tr>
      <w:tr>
        <w:tc>
          <w:tcPr>
            <w:tcW w:type="dxa" w:w="2852"/>
            <w:tcBorders>
              <w:bottom w:val="single" w:sz="4" w:space="0" w:color="DFE7E3"/>
            </w:tcBorders>
          </w:tcPr>
          <w:p>
            <w:r>
              <w:rPr>
                <w:b w:val="0"/>
                <w:i w:val="0"/>
                <w:color w:val="33403B"/>
                <w:sz w:val="18"/>
              </w:rPr>
              <w:t>Date de réunion de lancement</w:t>
            </w:r>
          </w:p>
        </w:tc>
        <w:tc>
          <w:tcPr>
            <w:tcW w:type="dxa" w:w="6560"/>
            <w:tcBorders>
              <w:bottom w:val="single" w:sz="4" w:space="0" w:color="DFE7E3"/>
            </w:tcBorders>
          </w:tcPr>
          <w:p>
            <w:r>
              <w:rPr>
                <w:b w:val="0"/>
                <w:i w:val="0"/>
                <w:color w:val="33403B"/>
                <w:sz w:val="18"/>
              </w:rPr>
              <w:t>2026-06-03</w:t>
            </w:r>
          </w:p>
        </w:tc>
      </w:tr>
      <w:tr>
        <w:tc>
          <w:tcPr>
            <w:tcW w:type="dxa" w:w="2852"/>
            <w:tcBorders>
              <w:bottom w:val="single" w:sz="4" w:space="0" w:color="DFE7E3"/>
            </w:tcBorders>
          </w:tcPr>
          <w:p>
            <w:r>
              <w:rPr>
                <w:b w:val="0"/>
                <w:i w:val="0"/>
                <w:color w:val="33403B"/>
                <w:sz w:val="18"/>
              </w:rPr>
              <w:t>Gouvernance de la mission</w:t>
            </w:r>
          </w:p>
        </w:tc>
        <w:tc>
          <w:tcPr>
            <w:tcW w:type="dxa" w:w="6560"/>
            <w:tcBorders>
              <w:bottom w:val="single" w:sz="4" w:space="0" w:color="DFE7E3"/>
            </w:tcBorders>
          </w:tcPr>
          <w:p>
            <w:r>
              <w:rPr>
                <w:b w:val="0"/>
                <w:i w:val="0"/>
                <w:color w:val="33403B"/>
                <w:sz w:val="18"/>
              </w:rPr>
              <w:t>Comité de pilotage bimensuel présidé par le DG, arbitrages tracés en compte rendu, escalade directe au DG en cas de découverte critique en cours de mission.</w:t>
            </w:r>
          </w:p>
        </w:tc>
      </w:tr>
      <w:tr>
        <w:tc>
          <w:tcPr>
            <w:tcW w:type="dxa" w:w="2852"/>
            <w:tcBorders>
              <w:bottom w:val="single" w:sz="4" w:space="0" w:color="DFE7E3"/>
            </w:tcBorders>
          </w:tcPr>
          <w:p>
            <w:r>
              <w:rPr>
                <w:b w:val="0"/>
                <w:i w:val="0"/>
                <w:color w:val="33403B"/>
                <w:sz w:val="18"/>
              </w:rPr>
              <w:t>Livrables contractuels</w:t>
            </w:r>
          </w:p>
        </w:tc>
        <w:tc>
          <w:tcPr>
            <w:tcW w:type="dxa" w:w="6560"/>
            <w:tcBorders>
              <w:bottom w:val="single" w:sz="4" w:space="0" w:color="DFE7E3"/>
            </w:tcBorders>
          </w:tcPr>
          <w:p>
            <w:r>
              <w:rPr>
                <w:b w:val="0"/>
                <w:i w:val="0"/>
                <w:color w:val="33403B"/>
                <w:sz w:val="18"/>
              </w:rPr>
              <w:t>Rapport d'audit de sécurité avec constats sourcés · Analyse de risque EBIOS RM (ateliers 1 à 5) · Plan de traitement priorisé et chiffré · AIPD vidéoprotection · Restitution en comité de direction (2 h)</w:t>
            </w:r>
          </w:p>
        </w:tc>
      </w:tr>
      <w:tr>
        <w:tc>
          <w:tcPr>
            <w:tcW w:type="dxa" w:w="2852"/>
            <w:tcBorders>
              <w:bottom w:val="single" w:sz="4" w:space="0" w:color="DFE7E3"/>
            </w:tcBorders>
          </w:tcPr>
          <w:p>
            <w:r>
              <w:rPr>
                <w:b w:val="0"/>
                <w:i w:val="0"/>
                <w:color w:val="33403B"/>
                <w:sz w:val="18"/>
              </w:rPr>
              <w:t>Participants au lancement</w:t>
            </w:r>
          </w:p>
        </w:tc>
        <w:tc>
          <w:tcPr>
            <w:tcW w:type="dxa" w:w="6560"/>
            <w:tcBorders>
              <w:bottom w:val="single" w:sz="4" w:space="0" w:color="DFE7E3"/>
            </w:tcBorders>
          </w:tcPr>
          <w:p>
            <w:r>
              <w:rPr>
                <w:b w:val="0"/>
                <w:i w:val="0"/>
                <w:color w:val="33403B"/>
                <w:sz w:val="18"/>
              </w:rPr>
              <w:t>Directeur Général (sponsor) · Responsable Infrastructure · Responsable R&amp;D · Responsable Production · Responsable RH (volet RGPD)</w:t>
            </w:r>
          </w:p>
        </w:tc>
      </w:tr>
    </w:tbl>
    <w:p/>
    <w:p>
      <w:pPr>
        <w:spacing w:before="200" w:after="40"/>
      </w:pPr>
      <w:r>
        <w:rPr>
          <w:b/>
          <w:i w:val="0"/>
          <w:color w:val="0C2317"/>
          <w:sz w:val="21"/>
        </w:rPr>
        <w:t>2.1 Entretiens conduits</w:t>
      </w:r>
    </w:p>
    <w:tbl>
      <w:tblPr>
        <w:tblW w:type="auto" w:w="0"/>
        <w:jc w:val="left"/>
        <w:tblLayout w:type="fixed"/>
        <w:tblLook w:firstColumn="1" w:firstRow="1" w:lastColumn="0" w:lastRow="0" w:noHBand="0" w:noVBand="1" w:val="04A0"/>
      </w:tblPr>
      <w:tblGrid>
        <w:gridCol w:w="2353"/>
        <w:gridCol w:w="1629"/>
        <w:gridCol w:w="5430"/>
      </w:tblGrid>
      <w:tr>
        <w:tc>
          <w:tcPr>
            <w:tcW w:type="dxa" w:w="2353"/>
            <w:shd w:val="clear" w:color="auto" w:fill="F2FBF7"/>
            <w:tcBorders>
              <w:bottom w:val="single" w:sz="6" w:space="0" w:color="C9DBD3"/>
            </w:tcBorders>
          </w:tcPr>
          <w:p>
            <w:r>
              <w:rPr>
                <w:b/>
                <w:i w:val="0"/>
                <w:color w:val="0C2317"/>
                <w:sz w:val="16"/>
              </w:rPr>
              <w:t>Rôle rencontré</w:t>
            </w:r>
          </w:p>
        </w:tc>
        <w:tc>
          <w:tcPr>
            <w:tcW w:type="dxa" w:w="1629"/>
            <w:shd w:val="clear" w:color="auto" w:fill="F2FBF7"/>
            <w:tcBorders>
              <w:bottom w:val="single" w:sz="6" w:space="0" w:color="C9DBD3"/>
            </w:tcBorders>
          </w:tcPr>
          <w:p>
            <w:r>
              <w:rPr>
                <w:b/>
                <w:i w:val="0"/>
                <w:color w:val="0C2317"/>
                <w:sz w:val="16"/>
              </w:rPr>
              <w:t>Date</w:t>
            </w:r>
          </w:p>
        </w:tc>
        <w:tc>
          <w:tcPr>
            <w:tcW w:type="dxa" w:w="5430"/>
            <w:shd w:val="clear" w:color="auto" w:fill="F2FBF7"/>
            <w:tcBorders>
              <w:bottom w:val="single" w:sz="6" w:space="0" w:color="C9DBD3"/>
            </w:tcBorders>
          </w:tcPr>
          <w:p>
            <w:r>
              <w:rPr>
                <w:b/>
                <w:i w:val="0"/>
                <w:color w:val="0C2317"/>
                <w:sz w:val="16"/>
              </w:rPr>
              <w:t>Ce qui a été déclaré</w:t>
            </w:r>
          </w:p>
        </w:tc>
      </w:tr>
      <w:tr>
        <w:tc>
          <w:tcPr>
            <w:tcW w:type="dxa" w:w="2353"/>
            <w:tcBorders>
              <w:bottom w:val="single" w:sz="4" w:space="0" w:color="DFE7E3"/>
            </w:tcBorders>
          </w:tcPr>
          <w:p>
            <w:r>
              <w:rPr>
                <w:b w:val="0"/>
                <w:i w:val="0"/>
                <w:color w:val="33403B"/>
                <w:sz w:val="18"/>
              </w:rPr>
              <w:t>Directeur Général</w:t>
            </w:r>
          </w:p>
        </w:tc>
        <w:tc>
          <w:tcPr>
            <w:tcW w:type="dxa" w:w="1629"/>
            <w:tcBorders>
              <w:bottom w:val="single" w:sz="4" w:space="0" w:color="DFE7E3"/>
            </w:tcBorders>
          </w:tcPr>
          <w:p>
            <w:r>
              <w:rPr>
                <w:b w:val="0"/>
                <w:i w:val="0"/>
                <w:color w:val="33403B"/>
                <w:sz w:val="18"/>
              </w:rPr>
              <w:t>2026-06-03</w:t>
            </w:r>
          </w:p>
        </w:tc>
        <w:tc>
          <w:tcPr>
            <w:tcW w:type="dxa" w:w="5430"/>
            <w:tcBorders>
              <w:bottom w:val="single" w:sz="4" w:space="0" w:color="DFE7E3"/>
            </w:tcBorders>
          </w:tcPr>
          <w:p>
            <w:r>
              <w:rPr>
                <w:b w:val="0"/>
                <w:i w:val="0"/>
                <w:color w:val="33403B"/>
                <w:sz w:val="18"/>
              </w:rPr>
              <w:t>Attente principale : conserver la qualification du donneur d'ordre. Budget disponible mais arbitré à l'euro près ; demande un plan chiffré et priorisé.</w:t>
            </w:r>
          </w:p>
        </w:tc>
      </w:tr>
      <w:tr>
        <w:tc>
          <w:tcPr>
            <w:tcW w:type="dxa" w:w="2353"/>
            <w:tcBorders>
              <w:bottom w:val="single" w:sz="4" w:space="0" w:color="DFE7E3"/>
            </w:tcBorders>
          </w:tcPr>
          <w:p>
            <w:r>
              <w:rPr>
                <w:b w:val="0"/>
                <w:i w:val="0"/>
                <w:color w:val="33403B"/>
                <w:sz w:val="18"/>
              </w:rPr>
              <w:t>Responsable Infrastructure</w:t>
            </w:r>
          </w:p>
        </w:tc>
        <w:tc>
          <w:tcPr>
            <w:tcW w:type="dxa" w:w="1629"/>
            <w:tcBorders>
              <w:bottom w:val="single" w:sz="4" w:space="0" w:color="DFE7E3"/>
            </w:tcBorders>
          </w:tcPr>
          <w:p>
            <w:r>
              <w:rPr>
                <w:b w:val="0"/>
                <w:i w:val="0"/>
                <w:color w:val="33403B"/>
                <w:sz w:val="18"/>
              </w:rPr>
              <w:t>2026-06-05</w:t>
            </w:r>
          </w:p>
        </w:tc>
        <w:tc>
          <w:tcPr>
            <w:tcW w:type="dxa" w:w="5430"/>
            <w:tcBorders>
              <w:bottom w:val="single" w:sz="4" w:space="0" w:color="DFE7E3"/>
            </w:tcBorders>
          </w:tcPr>
          <w:p>
            <w:r>
              <w:rPr>
                <w:b w:val="0"/>
                <w:i w:val="0"/>
                <w:color w:val="33403B"/>
                <w:sz w:val="18"/>
              </w:rPr>
              <w:t>Confirme l'absence de segmentation OT/IT, l'absence d'EDR et le fait que les sauvegardes n'ont jamais été restaurées en test. Signale 12 comptes à privilèges dont 4 sans propriétaire identifié.</w:t>
            </w:r>
          </w:p>
        </w:tc>
      </w:tr>
      <w:tr>
        <w:tc>
          <w:tcPr>
            <w:tcW w:type="dxa" w:w="2353"/>
            <w:tcBorders>
              <w:bottom w:val="single" w:sz="4" w:space="0" w:color="DFE7E3"/>
            </w:tcBorders>
          </w:tcPr>
          <w:p>
            <w:r>
              <w:rPr>
                <w:b w:val="0"/>
                <w:i w:val="0"/>
                <w:color w:val="33403B"/>
                <w:sz w:val="18"/>
              </w:rPr>
              <w:t>Responsable R&amp;D</w:t>
            </w:r>
          </w:p>
        </w:tc>
        <w:tc>
          <w:tcPr>
            <w:tcW w:type="dxa" w:w="1629"/>
            <w:tcBorders>
              <w:bottom w:val="single" w:sz="4" w:space="0" w:color="DFE7E3"/>
            </w:tcBorders>
          </w:tcPr>
          <w:p>
            <w:r>
              <w:rPr>
                <w:b w:val="0"/>
                <w:i w:val="0"/>
                <w:color w:val="33403B"/>
                <w:sz w:val="18"/>
              </w:rPr>
              <w:t>2026-06-11</w:t>
            </w:r>
          </w:p>
        </w:tc>
        <w:tc>
          <w:tcPr>
            <w:tcW w:type="dxa" w:w="5430"/>
            <w:tcBorders>
              <w:bottom w:val="single" w:sz="4" w:space="0" w:color="DFE7E3"/>
            </w:tcBorders>
          </w:tcPr>
          <w:p>
            <w:r>
              <w:rPr>
                <w:b w:val="0"/>
                <w:i w:val="0"/>
                <w:color w:val="33403B"/>
                <w:sz w:val="18"/>
              </w:rPr>
              <w:t>Les formulations sont sur un partage SMB accessible à 31 comptes, dont 9 hors R&amp;D. Aucune traçabilité des consultations. Aucun brevet ne protège ces actifs.</w:t>
            </w:r>
          </w:p>
        </w:tc>
      </w:tr>
      <w:tr>
        <w:tc>
          <w:tcPr>
            <w:tcW w:type="dxa" w:w="2353"/>
            <w:tcBorders>
              <w:bottom w:val="single" w:sz="4" w:space="0" w:color="DFE7E3"/>
            </w:tcBorders>
          </w:tcPr>
          <w:p>
            <w:r>
              <w:rPr>
                <w:b w:val="0"/>
                <w:i w:val="0"/>
                <w:color w:val="33403B"/>
                <w:sz w:val="18"/>
              </w:rPr>
              <w:t>Responsable Production</w:t>
            </w:r>
          </w:p>
        </w:tc>
        <w:tc>
          <w:tcPr>
            <w:tcW w:type="dxa" w:w="1629"/>
            <w:tcBorders>
              <w:bottom w:val="single" w:sz="4" w:space="0" w:color="DFE7E3"/>
            </w:tcBorders>
          </w:tcPr>
          <w:p>
            <w:r>
              <w:rPr>
                <w:b w:val="0"/>
                <w:i w:val="0"/>
                <w:color w:val="33403B"/>
                <w:sz w:val="18"/>
              </w:rPr>
              <w:t>2026-06-11</w:t>
            </w:r>
          </w:p>
        </w:tc>
        <w:tc>
          <w:tcPr>
            <w:tcW w:type="dxa" w:w="5430"/>
            <w:tcBorders>
              <w:bottom w:val="single" w:sz="4" w:space="0" w:color="DFE7E3"/>
            </w:tcBorders>
          </w:tcPr>
          <w:p>
            <w:r>
              <w:rPr>
                <w:b w:val="0"/>
                <w:i w:val="0"/>
                <w:color w:val="33403B"/>
                <w:sz w:val="18"/>
              </w:rPr>
              <w:t>Un arrêt de plus de 24 h impose de purger les fours et de rebuter les pièces en cours : le RTO de 24 h est un plafond technique, pas une préférence.</w:t>
            </w:r>
          </w:p>
        </w:tc>
      </w:tr>
      <w:tr>
        <w:tc>
          <w:tcPr>
            <w:tcW w:type="dxa" w:w="2353"/>
            <w:tcBorders>
              <w:bottom w:val="single" w:sz="4" w:space="0" w:color="DFE7E3"/>
            </w:tcBorders>
          </w:tcPr>
          <w:p>
            <w:r>
              <w:rPr>
                <w:b w:val="0"/>
                <w:i w:val="0"/>
                <w:color w:val="33403B"/>
                <w:sz w:val="18"/>
              </w:rPr>
              <w:t>Responsable RH</w:t>
            </w:r>
          </w:p>
        </w:tc>
        <w:tc>
          <w:tcPr>
            <w:tcW w:type="dxa" w:w="1629"/>
            <w:tcBorders>
              <w:bottom w:val="single" w:sz="4" w:space="0" w:color="DFE7E3"/>
            </w:tcBorders>
          </w:tcPr>
          <w:p>
            <w:r>
              <w:rPr>
                <w:b w:val="0"/>
                <w:i w:val="0"/>
                <w:color w:val="33403B"/>
                <w:sz w:val="18"/>
              </w:rPr>
              <w:t>2026-06-17</w:t>
            </w:r>
          </w:p>
        </w:tc>
        <w:tc>
          <w:tcPr>
            <w:tcW w:type="dxa" w:w="5430"/>
            <w:tcBorders>
              <w:bottom w:val="single" w:sz="4" w:space="0" w:color="DFE7E3"/>
            </w:tcBorders>
          </w:tcPr>
          <w:p>
            <w:r>
              <w:rPr>
                <w:b w:val="0"/>
                <w:i w:val="0"/>
                <w:color w:val="33403B"/>
                <w:sz w:val="18"/>
              </w:rPr>
              <w:t>Confirme la présence de données de santé au travail conservées 40 ans et le recours à un DPO externe mutualisé. CSE consulté sur la vidéoprotection.</w:t>
            </w:r>
          </w:p>
        </w:tc>
      </w:tr>
    </w:tbl>
    <w:p/>
    <w:p>
      <w:pPr>
        <w:spacing w:before="400" w:after="160"/>
        <w:pBdr>
          <w:bottom w:val="single" w:sz="16" w:space="4" w:color="2EE6A0"/>
        </w:pBdr>
      </w:pPr>
      <w:r>
        <w:rPr>
          <w:b/>
          <w:i w:val="0"/>
          <w:color w:val="2EE6A0"/>
          <w:sz w:val="28"/>
        </w:rPr>
        <w:t xml:space="preserve">3. </w:t>
      </w:r>
      <w:r>
        <w:rPr>
          <w:b/>
          <w:i w:val="0"/>
          <w:color w:val="0C2317"/>
          <w:sz w:val="28"/>
        </w:rPr>
        <w:t>Patrimoine évalué</w:t>
      </w:r>
    </w:p>
    <w:p>
      <w:pPr>
        <w:spacing w:before="200" w:after="40"/>
      </w:pPr>
      <w:r>
        <w:rPr>
          <w:b/>
          <w:i w:val="0"/>
          <w:color w:val="0C2317"/>
          <w:sz w:val="21"/>
        </w:rPr>
        <w:t>3.1 Valeurs métier</w:t>
      </w:r>
    </w:p>
    <w:tbl>
      <w:tblPr>
        <w:tblW w:type="auto" w:w="0"/>
        <w:jc w:val="left"/>
        <w:tblLayout w:type="fixed"/>
        <w:tblLook w:firstColumn="1" w:firstRow="1" w:lastColumn="0" w:lastRow="0" w:noHBand="0" w:noVBand="1" w:val="04A0"/>
      </w:tblPr>
      <w:tblGrid>
        <w:gridCol w:w="998"/>
        <w:gridCol w:w="2282"/>
        <w:gridCol w:w="4278"/>
        <w:gridCol w:w="1854"/>
      </w:tblGrid>
      <w:tr>
        <w:tc>
          <w:tcPr>
            <w:tcW w:type="dxa" w:w="998"/>
            <w:shd w:val="clear" w:color="auto" w:fill="F2FBF7"/>
            <w:tcBorders>
              <w:bottom w:val="single" w:sz="6" w:space="0" w:color="C9DBD3"/>
            </w:tcBorders>
          </w:tcPr>
          <w:p>
            <w:r>
              <w:rPr>
                <w:b/>
                <w:i w:val="0"/>
                <w:color w:val="0C2317"/>
                <w:sz w:val="16"/>
              </w:rPr>
              <w:t>ID</w:t>
            </w:r>
          </w:p>
        </w:tc>
        <w:tc>
          <w:tcPr>
            <w:tcW w:type="dxa" w:w="2282"/>
            <w:shd w:val="clear" w:color="auto" w:fill="F2FBF7"/>
            <w:tcBorders>
              <w:bottom w:val="single" w:sz="6" w:space="0" w:color="C9DBD3"/>
            </w:tcBorders>
          </w:tcPr>
          <w:p>
            <w:r>
              <w:rPr>
                <w:b/>
                <w:i w:val="0"/>
                <w:color w:val="0C2317"/>
                <w:sz w:val="16"/>
              </w:rPr>
              <w:t>Valeur métier</w:t>
            </w:r>
          </w:p>
        </w:tc>
        <w:tc>
          <w:tcPr>
            <w:tcW w:type="dxa" w:w="4278"/>
            <w:shd w:val="clear" w:color="auto" w:fill="F2FBF7"/>
            <w:tcBorders>
              <w:bottom w:val="single" w:sz="6" w:space="0" w:color="C9DBD3"/>
            </w:tcBorders>
          </w:tcPr>
          <w:p>
            <w:r>
              <w:rPr>
                <w:b/>
                <w:i w:val="0"/>
                <w:color w:val="0C2317"/>
                <w:sz w:val="16"/>
              </w:rPr>
              <w:t>Description</w:t>
            </w:r>
          </w:p>
        </w:tc>
        <w:tc>
          <w:tcPr>
            <w:tcW w:type="dxa" w:w="1854"/>
            <w:shd w:val="clear" w:color="auto" w:fill="F2FBF7"/>
            <w:tcBorders>
              <w:bottom w:val="single" w:sz="6" w:space="0" w:color="C9DBD3"/>
            </w:tcBorders>
          </w:tcPr>
          <w:p>
            <w:r>
              <w:rPr>
                <w:b/>
                <w:i w:val="0"/>
                <w:color w:val="0C2317"/>
                <w:sz w:val="16"/>
              </w:rPr>
              <w:t>Données personnelles</w:t>
            </w:r>
          </w:p>
        </w:tc>
      </w:tr>
      <w:tr>
        <w:tc>
          <w:tcPr>
            <w:tcW w:type="dxa" w:w="998"/>
            <w:tcBorders>
              <w:bottom w:val="single" w:sz="4" w:space="0" w:color="DFE7E3"/>
            </w:tcBorders>
          </w:tcPr>
          <w:p>
            <w:r>
              <w:rPr>
                <w:b w:val="0"/>
                <w:i w:val="0"/>
                <w:color w:val="33403B"/>
                <w:sz w:val="18"/>
              </w:rPr>
              <w:t>VM-01</w:t>
            </w:r>
          </w:p>
        </w:tc>
        <w:tc>
          <w:tcPr>
            <w:tcW w:type="dxa" w:w="2282"/>
            <w:tcBorders>
              <w:bottom w:val="single" w:sz="4" w:space="0" w:color="DFE7E3"/>
            </w:tcBorders>
          </w:tcPr>
          <w:p>
            <w:r>
              <w:rPr>
                <w:b w:val="0"/>
                <w:i w:val="0"/>
                <w:color w:val="33403B"/>
                <w:sz w:val="18"/>
              </w:rPr>
              <w:t>Formulations et procédés composites (R&amp;D)</w:t>
            </w:r>
          </w:p>
        </w:tc>
        <w:tc>
          <w:tcPr>
            <w:tcW w:type="dxa" w:w="4278"/>
            <w:tcBorders>
              <w:bottom w:val="single" w:sz="4" w:space="0" w:color="DFE7E3"/>
            </w:tcBorders>
          </w:tcPr>
          <w:p>
            <w:r>
              <w:rPr>
                <w:b w:val="0"/>
                <w:i w:val="0"/>
                <w:color w:val="33403B"/>
                <w:sz w:val="18"/>
              </w:rPr>
              <w:t>Recettes matières, courbes de cuisson, résultats d'essais destructifs. Actif le plus sensible de l'entreprise, non brevetable en l'état.</w:t>
            </w:r>
          </w:p>
        </w:tc>
        <w:tc>
          <w:tcPr>
            <w:tcW w:type="dxa" w:w="1854"/>
            <w:tcBorders>
              <w:bottom w:val="single" w:sz="4" w:space="0" w:color="DFE7E3"/>
            </w:tcBorders>
          </w:tcPr>
          <w:p>
            <w:r>
              <w:rPr>
                <w:b w:val="0"/>
                <w:i w:val="0"/>
                <w:color w:val="33403B"/>
                <w:sz w:val="18"/>
              </w:rPr>
              <w:t>Non</w:t>
            </w:r>
          </w:p>
        </w:tc>
      </w:tr>
      <w:tr>
        <w:tc>
          <w:tcPr>
            <w:tcW w:type="dxa" w:w="998"/>
            <w:tcBorders>
              <w:bottom w:val="single" w:sz="4" w:space="0" w:color="DFE7E3"/>
            </w:tcBorders>
          </w:tcPr>
          <w:p>
            <w:r>
              <w:rPr>
                <w:b w:val="0"/>
                <w:i w:val="0"/>
                <w:color w:val="33403B"/>
                <w:sz w:val="18"/>
              </w:rPr>
              <w:t>VM-02</w:t>
            </w:r>
          </w:p>
        </w:tc>
        <w:tc>
          <w:tcPr>
            <w:tcW w:type="dxa" w:w="2282"/>
            <w:tcBorders>
              <w:bottom w:val="single" w:sz="4" w:space="0" w:color="DFE7E3"/>
            </w:tcBorders>
          </w:tcPr>
          <w:p>
            <w:r>
              <w:rPr>
                <w:b w:val="0"/>
                <w:i w:val="0"/>
                <w:color w:val="33403B"/>
                <w:sz w:val="18"/>
              </w:rPr>
              <w:t>Dossiers de qualification client</w:t>
            </w:r>
          </w:p>
        </w:tc>
        <w:tc>
          <w:tcPr>
            <w:tcW w:type="dxa" w:w="4278"/>
            <w:tcBorders>
              <w:bottom w:val="single" w:sz="4" w:space="0" w:color="DFE7E3"/>
            </w:tcBorders>
          </w:tcPr>
          <w:p>
            <w:r>
              <w:rPr>
                <w:b w:val="0"/>
                <w:i w:val="0"/>
                <w:color w:val="33403B"/>
                <w:sz w:val="18"/>
              </w:rPr>
              <w:t>Preuves de conformité aéronautique par lot, exigées lors des audits clients.</w:t>
            </w:r>
          </w:p>
        </w:tc>
        <w:tc>
          <w:tcPr>
            <w:tcW w:type="dxa" w:w="1854"/>
            <w:tcBorders>
              <w:bottom w:val="single" w:sz="4" w:space="0" w:color="DFE7E3"/>
            </w:tcBorders>
          </w:tcPr>
          <w:p>
            <w:r>
              <w:rPr>
                <w:b w:val="0"/>
                <w:i w:val="0"/>
                <w:color w:val="33403B"/>
                <w:sz w:val="18"/>
              </w:rPr>
              <w:t>Non</w:t>
            </w:r>
          </w:p>
        </w:tc>
      </w:tr>
      <w:tr>
        <w:tc>
          <w:tcPr>
            <w:tcW w:type="dxa" w:w="998"/>
            <w:tcBorders>
              <w:bottom w:val="single" w:sz="4" w:space="0" w:color="DFE7E3"/>
            </w:tcBorders>
          </w:tcPr>
          <w:p>
            <w:r>
              <w:rPr>
                <w:b w:val="0"/>
                <w:i w:val="0"/>
                <w:color w:val="33403B"/>
                <w:sz w:val="18"/>
              </w:rPr>
              <w:t>VM-03</w:t>
            </w:r>
          </w:p>
        </w:tc>
        <w:tc>
          <w:tcPr>
            <w:tcW w:type="dxa" w:w="2282"/>
            <w:tcBorders>
              <w:bottom w:val="single" w:sz="4" w:space="0" w:color="DFE7E3"/>
            </w:tcBorders>
          </w:tcPr>
          <w:p>
            <w:r>
              <w:rPr>
                <w:b w:val="0"/>
                <w:i w:val="0"/>
                <w:color w:val="33403B"/>
                <w:sz w:val="18"/>
              </w:rPr>
              <w:t>Données RH et paie</w:t>
            </w:r>
          </w:p>
        </w:tc>
        <w:tc>
          <w:tcPr>
            <w:tcW w:type="dxa" w:w="4278"/>
            <w:tcBorders>
              <w:bottom w:val="single" w:sz="4" w:space="0" w:color="DFE7E3"/>
            </w:tcBorders>
          </w:tcPr>
          <w:p>
            <w:r>
              <w:rPr>
                <w:b w:val="0"/>
                <w:i w:val="0"/>
                <w:color w:val="33403B"/>
                <w:sz w:val="18"/>
              </w:rPr>
              <w:t>Contrats, bulletins, données de santé au travail des 204 salariés.</w:t>
            </w:r>
          </w:p>
        </w:tc>
        <w:tc>
          <w:tcPr>
            <w:tcW w:type="dxa" w:w="1854"/>
            <w:tcBorders>
              <w:bottom w:val="single" w:sz="4" w:space="0" w:color="DFE7E3"/>
            </w:tcBorders>
          </w:tcPr>
          <w:p>
            <w:r>
              <w:rPr>
                <w:b w:val="0"/>
                <w:i w:val="0"/>
                <w:color w:val="33403B"/>
                <w:sz w:val="18"/>
              </w:rPr>
              <w:t>Oui</w:t>
            </w:r>
          </w:p>
        </w:tc>
      </w:tr>
      <w:tr>
        <w:tc>
          <w:tcPr>
            <w:tcW w:type="dxa" w:w="998"/>
            <w:tcBorders>
              <w:bottom w:val="single" w:sz="4" w:space="0" w:color="DFE7E3"/>
            </w:tcBorders>
          </w:tcPr>
          <w:p>
            <w:r>
              <w:rPr>
                <w:b w:val="0"/>
                <w:i w:val="0"/>
                <w:color w:val="33403B"/>
                <w:sz w:val="18"/>
              </w:rPr>
              <w:t>VM-04</w:t>
            </w:r>
          </w:p>
        </w:tc>
        <w:tc>
          <w:tcPr>
            <w:tcW w:type="dxa" w:w="2282"/>
            <w:tcBorders>
              <w:bottom w:val="single" w:sz="4" w:space="0" w:color="DFE7E3"/>
            </w:tcBorders>
          </w:tcPr>
          <w:p>
            <w:r>
              <w:rPr>
                <w:b w:val="0"/>
                <w:i w:val="0"/>
                <w:color w:val="33403B"/>
                <w:sz w:val="18"/>
              </w:rPr>
              <w:t>Continuité de la ligne de production</w:t>
            </w:r>
          </w:p>
        </w:tc>
        <w:tc>
          <w:tcPr>
            <w:tcW w:type="dxa" w:w="4278"/>
            <w:tcBorders>
              <w:bottom w:val="single" w:sz="4" w:space="0" w:color="DFE7E3"/>
            </w:tcBorders>
          </w:tcPr>
          <w:p>
            <w:r>
              <w:rPr>
                <w:b w:val="0"/>
                <w:i w:val="0"/>
                <w:color w:val="33403B"/>
                <w:sz w:val="18"/>
              </w:rPr>
              <w:t>Disponibilité des automates et du MES pilotant les 4 fours de cuisson.</w:t>
            </w:r>
          </w:p>
        </w:tc>
        <w:tc>
          <w:tcPr>
            <w:tcW w:type="dxa" w:w="1854"/>
            <w:tcBorders>
              <w:bottom w:val="single" w:sz="4" w:space="0" w:color="DFE7E3"/>
            </w:tcBorders>
          </w:tcPr>
          <w:p>
            <w:r>
              <w:rPr>
                <w:b w:val="0"/>
                <w:i w:val="0"/>
                <w:color w:val="33403B"/>
                <w:sz w:val="18"/>
              </w:rPr>
              <w:t>Non</w:t>
            </w:r>
          </w:p>
        </w:tc>
      </w:tr>
    </w:tbl>
    <w:p/>
    <w:p>
      <w:pPr>
        <w:spacing w:before="200" w:after="40"/>
      </w:pPr>
      <w:r>
        <w:rPr>
          <w:b/>
          <w:i w:val="0"/>
          <w:color w:val="0C2317"/>
          <w:sz w:val="21"/>
        </w:rPr>
        <w:t>3.2 Biens supports</w:t>
      </w:r>
    </w:p>
    <w:tbl>
      <w:tblPr>
        <w:tblW w:type="auto" w:w="0"/>
        <w:jc w:val="left"/>
        <w:tblLayout w:type="fixed"/>
        <w:tblLook w:firstColumn="1" w:firstRow="1" w:lastColumn="0" w:lastRow="0" w:noHBand="0" w:noVBand="1" w:val="04A0"/>
      </w:tblPr>
      <w:tblGrid>
        <w:gridCol w:w="903"/>
        <w:gridCol w:w="2063"/>
        <w:gridCol w:w="1289"/>
        <w:gridCol w:w="3352"/>
        <w:gridCol w:w="1805"/>
      </w:tblGrid>
      <w:tr>
        <w:tc>
          <w:tcPr>
            <w:tcW w:type="dxa" w:w="903"/>
            <w:shd w:val="clear" w:color="auto" w:fill="F2FBF7"/>
            <w:tcBorders>
              <w:bottom w:val="single" w:sz="6" w:space="0" w:color="C9DBD3"/>
            </w:tcBorders>
          </w:tcPr>
          <w:p>
            <w:r>
              <w:rPr>
                <w:b/>
                <w:i w:val="0"/>
                <w:color w:val="0C2317"/>
                <w:sz w:val="16"/>
              </w:rPr>
              <w:t>ID</w:t>
            </w:r>
          </w:p>
        </w:tc>
        <w:tc>
          <w:tcPr>
            <w:tcW w:type="dxa" w:w="2063"/>
            <w:shd w:val="clear" w:color="auto" w:fill="F2FBF7"/>
            <w:tcBorders>
              <w:bottom w:val="single" w:sz="6" w:space="0" w:color="C9DBD3"/>
            </w:tcBorders>
          </w:tcPr>
          <w:p>
            <w:r>
              <w:rPr>
                <w:b/>
                <w:i w:val="0"/>
                <w:color w:val="0C2317"/>
                <w:sz w:val="16"/>
              </w:rPr>
              <w:t>Bien support</w:t>
            </w:r>
          </w:p>
        </w:tc>
        <w:tc>
          <w:tcPr>
            <w:tcW w:type="dxa" w:w="1289"/>
            <w:shd w:val="clear" w:color="auto" w:fill="F2FBF7"/>
            <w:tcBorders>
              <w:bottom w:val="single" w:sz="6" w:space="0" w:color="C9DBD3"/>
            </w:tcBorders>
          </w:tcPr>
          <w:p>
            <w:r>
              <w:rPr>
                <w:b/>
                <w:i w:val="0"/>
                <w:color w:val="0C2317"/>
                <w:sz w:val="16"/>
              </w:rPr>
              <w:t>Type</w:t>
            </w:r>
          </w:p>
        </w:tc>
        <w:tc>
          <w:tcPr>
            <w:tcW w:type="dxa" w:w="3352"/>
            <w:shd w:val="clear" w:color="auto" w:fill="F2FBF7"/>
            <w:tcBorders>
              <w:bottom w:val="single" w:sz="6" w:space="0" w:color="C9DBD3"/>
            </w:tcBorders>
          </w:tcPr>
          <w:p>
            <w:r>
              <w:rPr>
                <w:b/>
                <w:i w:val="0"/>
                <w:color w:val="0C2317"/>
                <w:sz w:val="16"/>
              </w:rPr>
              <w:t>Description</w:t>
            </w:r>
          </w:p>
        </w:tc>
        <w:tc>
          <w:tcPr>
            <w:tcW w:type="dxa" w:w="1805"/>
            <w:shd w:val="clear" w:color="auto" w:fill="F2FBF7"/>
            <w:tcBorders>
              <w:bottom w:val="single" w:sz="6" w:space="0" w:color="C9DBD3"/>
            </w:tcBorders>
          </w:tcPr>
          <w:p>
            <w:r>
              <w:rPr>
                <w:b/>
                <w:i w:val="0"/>
                <w:color w:val="0C2317"/>
                <w:sz w:val="16"/>
              </w:rPr>
              <w:t>Responsable</w:t>
            </w:r>
          </w:p>
        </w:tc>
      </w:tr>
      <w:tr>
        <w:tc>
          <w:tcPr>
            <w:tcW w:type="dxa" w:w="903"/>
            <w:tcBorders>
              <w:bottom w:val="single" w:sz="4" w:space="0" w:color="DFE7E3"/>
            </w:tcBorders>
          </w:tcPr>
          <w:p>
            <w:r>
              <w:rPr>
                <w:b w:val="0"/>
                <w:i w:val="0"/>
                <w:color w:val="33403B"/>
                <w:sz w:val="18"/>
              </w:rPr>
              <w:t>BS-01</w:t>
            </w:r>
          </w:p>
        </w:tc>
        <w:tc>
          <w:tcPr>
            <w:tcW w:type="dxa" w:w="2063"/>
            <w:tcBorders>
              <w:bottom w:val="single" w:sz="4" w:space="0" w:color="DFE7E3"/>
            </w:tcBorders>
          </w:tcPr>
          <w:p>
            <w:r>
              <w:rPr>
                <w:b w:val="0"/>
                <w:i w:val="0"/>
                <w:color w:val="33403B"/>
                <w:sz w:val="18"/>
              </w:rPr>
              <w:t>Active Directory (2 contrôleurs de domaine)</w:t>
            </w:r>
          </w:p>
        </w:tc>
        <w:tc>
          <w:tcPr>
            <w:tcW w:type="dxa" w:w="1289"/>
            <w:tcBorders>
              <w:bottom w:val="single" w:sz="4" w:space="0" w:color="DFE7E3"/>
            </w:tcBorders>
          </w:tcPr>
          <w:p>
            <w:r>
              <w:rPr>
                <w:b w:val="0"/>
                <w:i w:val="0"/>
                <w:color w:val="33403B"/>
                <w:sz w:val="18"/>
              </w:rPr>
              <w:t>Logiciel</w:t>
            </w:r>
          </w:p>
        </w:tc>
        <w:tc>
          <w:tcPr>
            <w:tcW w:type="dxa" w:w="3352"/>
            <w:tcBorders>
              <w:bottom w:val="single" w:sz="4" w:space="0" w:color="DFE7E3"/>
            </w:tcBorders>
          </w:tcPr>
          <w:p>
            <w:r>
              <w:rPr>
                <w:b w:val="0"/>
                <w:i w:val="0"/>
                <w:color w:val="33403B"/>
                <w:sz w:val="18"/>
              </w:rPr>
              <w:t>Annuaire unique, forêt à domaine unique, niveau fonctionnel 2016.</w:t>
            </w:r>
          </w:p>
        </w:tc>
        <w:tc>
          <w:tcPr>
            <w:tcW w:type="dxa" w:w="1805"/>
            <w:tcBorders>
              <w:bottom w:val="single" w:sz="4" w:space="0" w:color="DFE7E3"/>
            </w:tcBorders>
          </w:tcPr>
          <w:p>
            <w:r>
              <w:rPr>
                <w:b w:val="0"/>
                <w:i w:val="0"/>
                <w:color w:val="33403B"/>
                <w:sz w:val="18"/>
              </w:rPr>
              <w:t>Responsable Infrastructure</w:t>
            </w:r>
          </w:p>
        </w:tc>
      </w:tr>
      <w:tr>
        <w:tc>
          <w:tcPr>
            <w:tcW w:type="dxa" w:w="903"/>
            <w:tcBorders>
              <w:bottom w:val="single" w:sz="4" w:space="0" w:color="DFE7E3"/>
            </w:tcBorders>
          </w:tcPr>
          <w:p>
            <w:r>
              <w:rPr>
                <w:b w:val="0"/>
                <w:i w:val="0"/>
                <w:color w:val="33403B"/>
                <w:sz w:val="18"/>
              </w:rPr>
              <w:t>BS-02</w:t>
            </w:r>
          </w:p>
        </w:tc>
        <w:tc>
          <w:tcPr>
            <w:tcW w:type="dxa" w:w="2063"/>
            <w:tcBorders>
              <w:bottom w:val="single" w:sz="4" w:space="0" w:color="DFE7E3"/>
            </w:tcBorders>
          </w:tcPr>
          <w:p>
            <w:r>
              <w:rPr>
                <w:b w:val="0"/>
                <w:i w:val="0"/>
                <w:color w:val="33403B"/>
                <w:sz w:val="18"/>
              </w:rPr>
              <w:t>Serveur de fichiers R&amp;D (NAS)</w:t>
            </w:r>
          </w:p>
        </w:tc>
        <w:tc>
          <w:tcPr>
            <w:tcW w:type="dxa" w:w="1289"/>
            <w:tcBorders>
              <w:bottom w:val="single" w:sz="4" w:space="0" w:color="DFE7E3"/>
            </w:tcBorders>
          </w:tcPr>
          <w:p>
            <w:r>
              <w:rPr>
                <w:b w:val="0"/>
                <w:i w:val="0"/>
                <w:color w:val="33403B"/>
                <w:sz w:val="18"/>
              </w:rPr>
              <w:t>Matériel</w:t>
            </w:r>
          </w:p>
        </w:tc>
        <w:tc>
          <w:tcPr>
            <w:tcW w:type="dxa" w:w="3352"/>
            <w:tcBorders>
              <w:bottom w:val="single" w:sz="4" w:space="0" w:color="DFE7E3"/>
            </w:tcBorders>
          </w:tcPr>
          <w:p>
            <w:r>
              <w:rPr>
                <w:b w:val="0"/>
                <w:i w:val="0"/>
                <w:color w:val="33403B"/>
                <w:sz w:val="18"/>
              </w:rPr>
              <w:t>Stocke les formulations. Partage SMB, pas de chiffrement au repos.</w:t>
            </w:r>
          </w:p>
        </w:tc>
        <w:tc>
          <w:tcPr>
            <w:tcW w:type="dxa" w:w="1805"/>
            <w:tcBorders>
              <w:bottom w:val="single" w:sz="4" w:space="0" w:color="DFE7E3"/>
            </w:tcBorders>
          </w:tcPr>
          <w:p>
            <w:r>
              <w:rPr>
                <w:b w:val="0"/>
                <w:i w:val="0"/>
                <w:color w:val="33403B"/>
                <w:sz w:val="18"/>
              </w:rPr>
              <w:t>Responsable R&amp;D</w:t>
            </w:r>
          </w:p>
        </w:tc>
      </w:tr>
      <w:tr>
        <w:tc>
          <w:tcPr>
            <w:tcW w:type="dxa" w:w="903"/>
            <w:tcBorders>
              <w:bottom w:val="single" w:sz="4" w:space="0" w:color="DFE7E3"/>
            </w:tcBorders>
          </w:tcPr>
          <w:p>
            <w:r>
              <w:rPr>
                <w:b w:val="0"/>
                <w:i w:val="0"/>
                <w:color w:val="33403B"/>
                <w:sz w:val="18"/>
              </w:rPr>
              <w:t>BS-03</w:t>
            </w:r>
          </w:p>
        </w:tc>
        <w:tc>
          <w:tcPr>
            <w:tcW w:type="dxa" w:w="2063"/>
            <w:tcBorders>
              <w:bottom w:val="single" w:sz="4" w:space="0" w:color="DFE7E3"/>
            </w:tcBorders>
          </w:tcPr>
          <w:p>
            <w:r>
              <w:rPr>
                <w:b w:val="0"/>
                <w:i w:val="0"/>
                <w:color w:val="33403B"/>
                <w:sz w:val="18"/>
              </w:rPr>
              <w:t>MES et automates de cuisson</w:t>
            </w:r>
          </w:p>
        </w:tc>
        <w:tc>
          <w:tcPr>
            <w:tcW w:type="dxa" w:w="1289"/>
            <w:tcBorders>
              <w:bottom w:val="single" w:sz="4" w:space="0" w:color="DFE7E3"/>
            </w:tcBorders>
          </w:tcPr>
          <w:p>
            <w:r>
              <w:rPr>
                <w:b w:val="0"/>
                <w:i w:val="0"/>
                <w:color w:val="33403B"/>
                <w:sz w:val="18"/>
              </w:rPr>
              <w:t>Matériel</w:t>
            </w:r>
          </w:p>
        </w:tc>
        <w:tc>
          <w:tcPr>
            <w:tcW w:type="dxa" w:w="3352"/>
            <w:tcBorders>
              <w:bottom w:val="single" w:sz="4" w:space="0" w:color="DFE7E3"/>
            </w:tcBorders>
          </w:tcPr>
          <w:p>
            <w:r>
              <w:rPr>
                <w:b w:val="0"/>
                <w:i w:val="0"/>
                <w:color w:val="33403B"/>
                <w:sz w:val="18"/>
              </w:rPr>
              <w:t>Réseau OT à plat, non segmenté du réseau bureautique.</w:t>
            </w:r>
          </w:p>
        </w:tc>
        <w:tc>
          <w:tcPr>
            <w:tcW w:type="dxa" w:w="1805"/>
            <w:tcBorders>
              <w:bottom w:val="single" w:sz="4" w:space="0" w:color="DFE7E3"/>
            </w:tcBorders>
          </w:tcPr>
          <w:p>
            <w:r>
              <w:rPr>
                <w:b w:val="0"/>
                <w:i w:val="0"/>
                <w:color w:val="33403B"/>
                <w:sz w:val="18"/>
              </w:rPr>
              <w:t>Responsable Production</w:t>
            </w:r>
          </w:p>
        </w:tc>
      </w:tr>
      <w:tr>
        <w:tc>
          <w:tcPr>
            <w:tcW w:type="dxa" w:w="903"/>
            <w:tcBorders>
              <w:bottom w:val="single" w:sz="4" w:space="0" w:color="DFE7E3"/>
            </w:tcBorders>
          </w:tcPr>
          <w:p>
            <w:r>
              <w:rPr>
                <w:b w:val="0"/>
                <w:i w:val="0"/>
                <w:color w:val="33403B"/>
                <w:sz w:val="18"/>
              </w:rPr>
              <w:t>BS-04</w:t>
            </w:r>
          </w:p>
        </w:tc>
        <w:tc>
          <w:tcPr>
            <w:tcW w:type="dxa" w:w="2063"/>
            <w:tcBorders>
              <w:bottom w:val="single" w:sz="4" w:space="0" w:color="DFE7E3"/>
            </w:tcBorders>
          </w:tcPr>
          <w:p>
            <w:r>
              <w:rPr>
                <w:b w:val="0"/>
                <w:i w:val="0"/>
                <w:color w:val="33403B"/>
                <w:sz w:val="18"/>
              </w:rPr>
              <w:t>Postes de travail (168 postes Windows 11)</w:t>
            </w:r>
          </w:p>
        </w:tc>
        <w:tc>
          <w:tcPr>
            <w:tcW w:type="dxa" w:w="1289"/>
            <w:tcBorders>
              <w:bottom w:val="single" w:sz="4" w:space="0" w:color="DFE7E3"/>
            </w:tcBorders>
          </w:tcPr>
          <w:p>
            <w:r>
              <w:rPr>
                <w:b w:val="0"/>
                <w:i w:val="0"/>
                <w:color w:val="33403B"/>
                <w:sz w:val="18"/>
              </w:rPr>
              <w:t>Matériel</w:t>
            </w:r>
          </w:p>
        </w:tc>
        <w:tc>
          <w:tcPr>
            <w:tcW w:type="dxa" w:w="3352"/>
            <w:tcBorders>
              <w:bottom w:val="single" w:sz="4" w:space="0" w:color="DFE7E3"/>
            </w:tcBorders>
          </w:tcPr>
          <w:p>
            <w:r>
              <w:rPr>
                <w:b w:val="0"/>
                <w:i w:val="0"/>
                <w:color w:val="33403B"/>
                <w:sz w:val="18"/>
              </w:rPr>
              <w:t>Parc géré par GPO, sans EDR à ce jour.</w:t>
            </w:r>
          </w:p>
        </w:tc>
        <w:tc>
          <w:tcPr>
            <w:tcW w:type="dxa" w:w="1805"/>
            <w:tcBorders>
              <w:bottom w:val="single" w:sz="4" w:space="0" w:color="DFE7E3"/>
            </w:tcBorders>
          </w:tcPr>
          <w:p>
            <w:r>
              <w:rPr>
                <w:b w:val="0"/>
                <w:i w:val="0"/>
                <w:color w:val="33403B"/>
                <w:sz w:val="18"/>
              </w:rPr>
              <w:t>Support IT</w:t>
            </w:r>
          </w:p>
        </w:tc>
      </w:tr>
      <w:tr>
        <w:tc>
          <w:tcPr>
            <w:tcW w:type="dxa" w:w="903"/>
            <w:tcBorders>
              <w:bottom w:val="single" w:sz="4" w:space="0" w:color="DFE7E3"/>
            </w:tcBorders>
          </w:tcPr>
          <w:p>
            <w:r>
              <w:rPr>
                <w:b w:val="0"/>
                <w:i w:val="0"/>
                <w:color w:val="33403B"/>
                <w:sz w:val="18"/>
              </w:rPr>
              <w:t>BS-05</w:t>
            </w:r>
          </w:p>
        </w:tc>
        <w:tc>
          <w:tcPr>
            <w:tcW w:type="dxa" w:w="2063"/>
            <w:tcBorders>
              <w:bottom w:val="single" w:sz="4" w:space="0" w:color="DFE7E3"/>
            </w:tcBorders>
          </w:tcPr>
          <w:p>
            <w:r>
              <w:rPr>
                <w:b w:val="0"/>
                <w:i w:val="0"/>
                <w:color w:val="33403B"/>
                <w:sz w:val="18"/>
              </w:rPr>
              <w:t>Messagerie Microsoft 365</w:t>
            </w:r>
          </w:p>
        </w:tc>
        <w:tc>
          <w:tcPr>
            <w:tcW w:type="dxa" w:w="1289"/>
            <w:tcBorders>
              <w:bottom w:val="single" w:sz="4" w:space="0" w:color="DFE7E3"/>
            </w:tcBorders>
          </w:tcPr>
          <w:p>
            <w:r>
              <w:rPr>
                <w:b w:val="0"/>
                <w:i w:val="0"/>
                <w:color w:val="33403B"/>
                <w:sz w:val="18"/>
              </w:rPr>
              <w:t>Logiciel</w:t>
            </w:r>
          </w:p>
        </w:tc>
        <w:tc>
          <w:tcPr>
            <w:tcW w:type="dxa" w:w="3352"/>
            <w:tcBorders>
              <w:bottom w:val="single" w:sz="4" w:space="0" w:color="DFE7E3"/>
            </w:tcBorders>
          </w:tcPr>
          <w:p>
            <w:r>
              <w:rPr>
                <w:b w:val="0"/>
                <w:i w:val="0"/>
                <w:color w:val="33403B"/>
                <w:sz w:val="18"/>
              </w:rPr>
              <w:t>Tenant unique, MFA activé pour les seuls administrateurs.</w:t>
            </w:r>
          </w:p>
        </w:tc>
        <w:tc>
          <w:tcPr>
            <w:tcW w:type="dxa" w:w="1805"/>
            <w:tcBorders>
              <w:bottom w:val="single" w:sz="4" w:space="0" w:color="DFE7E3"/>
            </w:tcBorders>
          </w:tcPr>
          <w:p>
            <w:r>
              <w:rPr>
                <w:b w:val="0"/>
                <w:i w:val="0"/>
                <w:color w:val="33403B"/>
                <w:sz w:val="18"/>
              </w:rPr>
              <w:t>Responsable Infrastructure</w:t>
            </w:r>
          </w:p>
        </w:tc>
      </w:tr>
      <w:tr>
        <w:tc>
          <w:tcPr>
            <w:tcW w:type="dxa" w:w="903"/>
            <w:tcBorders>
              <w:bottom w:val="single" w:sz="4" w:space="0" w:color="DFE7E3"/>
            </w:tcBorders>
          </w:tcPr>
          <w:p>
            <w:r>
              <w:rPr>
                <w:b w:val="0"/>
                <w:i w:val="0"/>
                <w:color w:val="33403B"/>
                <w:sz w:val="18"/>
              </w:rPr>
              <w:t>BS-06</w:t>
            </w:r>
          </w:p>
        </w:tc>
        <w:tc>
          <w:tcPr>
            <w:tcW w:type="dxa" w:w="2063"/>
            <w:tcBorders>
              <w:bottom w:val="single" w:sz="4" w:space="0" w:color="DFE7E3"/>
            </w:tcBorders>
          </w:tcPr>
          <w:p>
            <w:r>
              <w:rPr>
                <w:b w:val="0"/>
                <w:i w:val="0"/>
                <w:color w:val="33403B"/>
                <w:sz w:val="18"/>
              </w:rPr>
              <w:t>Sauvegardes Veeam sur NAS secondaire</w:t>
            </w:r>
          </w:p>
        </w:tc>
        <w:tc>
          <w:tcPr>
            <w:tcW w:type="dxa" w:w="1289"/>
            <w:tcBorders>
              <w:bottom w:val="single" w:sz="4" w:space="0" w:color="DFE7E3"/>
            </w:tcBorders>
          </w:tcPr>
          <w:p>
            <w:r>
              <w:rPr>
                <w:b w:val="0"/>
                <w:i w:val="0"/>
                <w:color w:val="33403B"/>
                <w:sz w:val="18"/>
              </w:rPr>
              <w:t>Matériel</w:t>
            </w:r>
          </w:p>
        </w:tc>
        <w:tc>
          <w:tcPr>
            <w:tcW w:type="dxa" w:w="3352"/>
            <w:tcBorders>
              <w:bottom w:val="single" w:sz="4" w:space="0" w:color="DFE7E3"/>
            </w:tcBorders>
          </w:tcPr>
          <w:p>
            <w:r>
              <w:rPr>
                <w:b w:val="0"/>
                <w:i w:val="0"/>
                <w:color w:val="33403B"/>
                <w:sz w:val="18"/>
              </w:rPr>
              <w:t>Sauvegarde quotidienne, même VLAN que la production, pas de copie hors site.</w:t>
            </w:r>
          </w:p>
        </w:tc>
        <w:tc>
          <w:tcPr>
            <w:tcW w:type="dxa" w:w="1805"/>
            <w:tcBorders>
              <w:bottom w:val="single" w:sz="4" w:space="0" w:color="DFE7E3"/>
            </w:tcBorders>
          </w:tcPr>
          <w:p>
            <w:r>
              <w:rPr>
                <w:b w:val="0"/>
                <w:i w:val="0"/>
                <w:color w:val="33403B"/>
                <w:sz w:val="18"/>
              </w:rPr>
              <w:t>Responsable Infrastructure</w:t>
            </w:r>
          </w:p>
        </w:tc>
      </w:tr>
    </w:tbl>
    <w:p/>
    <w:p>
      <w:pPr>
        <w:spacing w:before="400" w:after="160"/>
        <w:pBdr>
          <w:bottom w:val="single" w:sz="16" w:space="4" w:color="2EE6A0"/>
        </w:pBdr>
      </w:pPr>
      <w:r>
        <w:rPr>
          <w:b/>
          <w:i w:val="0"/>
          <w:color w:val="2EE6A0"/>
          <w:sz w:val="28"/>
        </w:rPr>
        <w:t xml:space="preserve">4. </w:t>
      </w:r>
      <w:r>
        <w:rPr>
          <w:b/>
          <w:i w:val="0"/>
          <w:color w:val="0C2317"/>
          <w:sz w:val="28"/>
        </w:rPr>
        <w:t>Protection des données personnelles</w:t>
      </w:r>
    </w:p>
    <w:p>
      <w:pPr>
        <w:spacing w:before="200" w:after="40"/>
      </w:pPr>
      <w:r>
        <w:rPr>
          <w:b/>
          <w:i w:val="0"/>
          <w:color w:val="0C2317"/>
          <w:sz w:val="21"/>
        </w:rPr>
        <w:t>4.1 Registre des traitements (RGPD Art. 30)</w:t>
      </w:r>
    </w:p>
    <w:tbl>
      <w:tblPr>
        <w:tblW w:type="auto" w:w="0"/>
        <w:jc w:val="left"/>
        <w:tblLayout w:type="fixed"/>
        <w:tblLook w:firstColumn="1" w:firstRow="1" w:lastColumn="0" w:lastRow="0" w:noHBand="0" w:noVBand="1" w:val="04A0"/>
      </w:tblPr>
      <w:tblGrid>
        <w:gridCol w:w="890"/>
        <w:gridCol w:w="2035"/>
        <w:gridCol w:w="2544"/>
        <w:gridCol w:w="2289"/>
        <w:gridCol w:w="1653"/>
      </w:tblGrid>
      <w:tr>
        <w:tc>
          <w:tcPr>
            <w:tcW w:type="dxa" w:w="890"/>
            <w:shd w:val="clear" w:color="auto" w:fill="F2FBF7"/>
            <w:tcBorders>
              <w:bottom w:val="single" w:sz="6" w:space="0" w:color="C9DBD3"/>
            </w:tcBorders>
          </w:tcPr>
          <w:p>
            <w:r>
              <w:rPr>
                <w:b/>
                <w:i w:val="0"/>
                <w:color w:val="0C2317"/>
                <w:sz w:val="16"/>
              </w:rPr>
              <w:t>ID</w:t>
            </w:r>
          </w:p>
        </w:tc>
        <w:tc>
          <w:tcPr>
            <w:tcW w:type="dxa" w:w="2035"/>
            <w:shd w:val="clear" w:color="auto" w:fill="F2FBF7"/>
            <w:tcBorders>
              <w:bottom w:val="single" w:sz="6" w:space="0" w:color="C9DBD3"/>
            </w:tcBorders>
          </w:tcPr>
          <w:p>
            <w:r>
              <w:rPr>
                <w:b/>
                <w:i w:val="0"/>
                <w:color w:val="0C2317"/>
                <w:sz w:val="16"/>
              </w:rPr>
              <w:t>Traitement</w:t>
            </w:r>
          </w:p>
        </w:tc>
        <w:tc>
          <w:tcPr>
            <w:tcW w:type="dxa" w:w="2544"/>
            <w:shd w:val="clear" w:color="auto" w:fill="F2FBF7"/>
            <w:tcBorders>
              <w:bottom w:val="single" w:sz="6" w:space="0" w:color="C9DBD3"/>
            </w:tcBorders>
          </w:tcPr>
          <w:p>
            <w:r>
              <w:rPr>
                <w:b/>
                <w:i w:val="0"/>
                <w:color w:val="0C2317"/>
                <w:sz w:val="16"/>
              </w:rPr>
              <w:t>Finalité</w:t>
            </w:r>
          </w:p>
        </w:tc>
        <w:tc>
          <w:tcPr>
            <w:tcW w:type="dxa" w:w="2289"/>
            <w:shd w:val="clear" w:color="auto" w:fill="F2FBF7"/>
            <w:tcBorders>
              <w:bottom w:val="single" w:sz="6" w:space="0" w:color="C9DBD3"/>
            </w:tcBorders>
          </w:tcPr>
          <w:p>
            <w:r>
              <w:rPr>
                <w:b/>
                <w:i w:val="0"/>
                <w:color w:val="0C2317"/>
                <w:sz w:val="16"/>
              </w:rPr>
              <w:t>Catégories de données</w:t>
            </w:r>
          </w:p>
        </w:tc>
        <w:tc>
          <w:tcPr>
            <w:tcW w:type="dxa" w:w="1653"/>
            <w:shd w:val="clear" w:color="auto" w:fill="F2FBF7"/>
            <w:tcBorders>
              <w:bottom w:val="single" w:sz="6" w:space="0" w:color="C9DBD3"/>
            </w:tcBorders>
          </w:tcPr>
          <w:p>
            <w:r>
              <w:rPr>
                <w:b/>
                <w:i w:val="0"/>
                <w:color w:val="0C2317"/>
                <w:sz w:val="16"/>
              </w:rPr>
              <w:t>Conservation</w:t>
            </w:r>
          </w:p>
        </w:tc>
      </w:tr>
      <w:tr>
        <w:tc>
          <w:tcPr>
            <w:tcW w:type="dxa" w:w="890"/>
            <w:tcBorders>
              <w:bottom w:val="single" w:sz="4" w:space="0" w:color="DFE7E3"/>
            </w:tcBorders>
          </w:tcPr>
          <w:p>
            <w:r>
              <w:rPr>
                <w:b w:val="0"/>
                <w:i w:val="0"/>
                <w:color w:val="33403B"/>
                <w:sz w:val="18"/>
              </w:rPr>
              <w:t>RGPD-01</w:t>
            </w:r>
          </w:p>
        </w:tc>
        <w:tc>
          <w:tcPr>
            <w:tcW w:type="dxa" w:w="2035"/>
            <w:tcBorders>
              <w:bottom w:val="single" w:sz="4" w:space="0" w:color="DFE7E3"/>
            </w:tcBorders>
          </w:tcPr>
          <w:p>
            <w:r>
              <w:rPr>
                <w:b w:val="0"/>
                <w:i w:val="0"/>
                <w:color w:val="33403B"/>
                <w:sz w:val="18"/>
              </w:rPr>
              <w:t>Gestion administrative du personnel</w:t>
            </w:r>
          </w:p>
        </w:tc>
        <w:tc>
          <w:tcPr>
            <w:tcW w:type="dxa" w:w="2544"/>
            <w:tcBorders>
              <w:bottom w:val="single" w:sz="4" w:space="0" w:color="DFE7E3"/>
            </w:tcBorders>
          </w:tcPr>
          <w:p>
            <w:r>
              <w:rPr>
                <w:b w:val="0"/>
                <w:i w:val="0"/>
                <w:color w:val="33403B"/>
                <w:sz w:val="18"/>
              </w:rPr>
              <w:t>Exécution du contrat de travail, paie, obligations sociales.</w:t>
            </w:r>
          </w:p>
        </w:tc>
        <w:tc>
          <w:tcPr>
            <w:tcW w:type="dxa" w:w="2289"/>
            <w:tcBorders>
              <w:bottom w:val="single" w:sz="4" w:space="0" w:color="DFE7E3"/>
            </w:tcBorders>
          </w:tcPr>
          <w:p>
            <w:r>
              <w:rPr>
                <w:b w:val="0"/>
                <w:i w:val="0"/>
                <w:color w:val="33403B"/>
                <w:sz w:val="18"/>
              </w:rPr>
              <w:t>Identité, coordonnées, RIB, situation familiale, arrêts de travail</w:t>
            </w:r>
          </w:p>
        </w:tc>
        <w:tc>
          <w:tcPr>
            <w:tcW w:type="dxa" w:w="1653"/>
            <w:tcBorders>
              <w:bottom w:val="single" w:sz="4" w:space="0" w:color="DFE7E3"/>
            </w:tcBorders>
          </w:tcPr>
          <w:p>
            <w:r>
              <w:rPr>
                <w:b w:val="0"/>
                <w:i w:val="0"/>
                <w:color w:val="33403B"/>
                <w:sz w:val="18"/>
              </w:rPr>
              <w:t>Durée du contrat + 5 ans (prescription prud'homale)</w:t>
            </w:r>
          </w:p>
        </w:tc>
      </w:tr>
      <w:tr>
        <w:tc>
          <w:tcPr>
            <w:tcW w:type="dxa" w:w="890"/>
            <w:tcBorders>
              <w:bottom w:val="single" w:sz="4" w:space="0" w:color="DFE7E3"/>
            </w:tcBorders>
          </w:tcPr>
          <w:p>
            <w:r>
              <w:rPr>
                <w:b w:val="0"/>
                <w:i w:val="0"/>
                <w:color w:val="33403B"/>
                <w:sz w:val="18"/>
              </w:rPr>
              <w:t>RGPD-02</w:t>
            </w:r>
          </w:p>
        </w:tc>
        <w:tc>
          <w:tcPr>
            <w:tcW w:type="dxa" w:w="2035"/>
            <w:tcBorders>
              <w:bottom w:val="single" w:sz="4" w:space="0" w:color="DFE7E3"/>
            </w:tcBorders>
          </w:tcPr>
          <w:p>
            <w:r>
              <w:rPr>
                <w:b w:val="0"/>
                <w:i w:val="0"/>
                <w:color w:val="33403B"/>
                <w:sz w:val="18"/>
              </w:rPr>
              <w:t>Vidéoprotection des accès ateliers</w:t>
            </w:r>
          </w:p>
        </w:tc>
        <w:tc>
          <w:tcPr>
            <w:tcW w:type="dxa" w:w="2544"/>
            <w:tcBorders>
              <w:bottom w:val="single" w:sz="4" w:space="0" w:color="DFE7E3"/>
            </w:tcBorders>
          </w:tcPr>
          <w:p>
            <w:r>
              <w:rPr>
                <w:b w:val="0"/>
                <w:i w:val="0"/>
                <w:color w:val="33403B"/>
                <w:sz w:val="18"/>
              </w:rPr>
              <w:t>Sécurité des personnes et protection du secret industriel.</w:t>
            </w:r>
          </w:p>
        </w:tc>
        <w:tc>
          <w:tcPr>
            <w:tcW w:type="dxa" w:w="2289"/>
            <w:tcBorders>
              <w:bottom w:val="single" w:sz="4" w:space="0" w:color="DFE7E3"/>
            </w:tcBorders>
          </w:tcPr>
          <w:p>
            <w:r>
              <w:rPr>
                <w:b w:val="0"/>
                <w:i w:val="0"/>
                <w:color w:val="33403B"/>
                <w:sz w:val="18"/>
              </w:rPr>
              <w:t>Images des salariés et visiteurs aux 6 points d'accès</w:t>
            </w:r>
          </w:p>
        </w:tc>
        <w:tc>
          <w:tcPr>
            <w:tcW w:type="dxa" w:w="1653"/>
            <w:tcBorders>
              <w:bottom w:val="single" w:sz="4" w:space="0" w:color="DFE7E3"/>
            </w:tcBorders>
          </w:tcPr>
          <w:p>
            <w:r>
              <w:rPr>
                <w:b w:val="0"/>
                <w:i w:val="0"/>
                <w:color w:val="33403B"/>
                <w:sz w:val="18"/>
              </w:rPr>
              <w:t>30 jours</w:t>
            </w:r>
          </w:p>
        </w:tc>
      </w:tr>
      <w:tr>
        <w:tc>
          <w:tcPr>
            <w:tcW w:type="dxa" w:w="890"/>
            <w:tcBorders>
              <w:bottom w:val="single" w:sz="4" w:space="0" w:color="DFE7E3"/>
            </w:tcBorders>
          </w:tcPr>
          <w:p>
            <w:r>
              <w:rPr>
                <w:b w:val="0"/>
                <w:i w:val="0"/>
                <w:color w:val="33403B"/>
                <w:sz w:val="18"/>
              </w:rPr>
              <w:t>RGPD-03</w:t>
            </w:r>
          </w:p>
        </w:tc>
        <w:tc>
          <w:tcPr>
            <w:tcW w:type="dxa" w:w="2035"/>
            <w:tcBorders>
              <w:bottom w:val="single" w:sz="4" w:space="0" w:color="DFE7E3"/>
            </w:tcBorders>
          </w:tcPr>
          <w:p>
            <w:r>
              <w:rPr>
                <w:b w:val="0"/>
                <w:i w:val="0"/>
                <w:color w:val="33403B"/>
                <w:sz w:val="18"/>
              </w:rPr>
              <w:t>Suivi de la santé au travail</w:t>
            </w:r>
          </w:p>
        </w:tc>
        <w:tc>
          <w:tcPr>
            <w:tcW w:type="dxa" w:w="2544"/>
            <w:tcBorders>
              <w:bottom w:val="single" w:sz="4" w:space="0" w:color="DFE7E3"/>
            </w:tcBorders>
          </w:tcPr>
          <w:p>
            <w:r>
              <w:rPr>
                <w:b w:val="0"/>
                <w:i w:val="0"/>
                <w:color w:val="33403B"/>
                <w:sz w:val="18"/>
              </w:rPr>
              <w:t>Suivi des expositions aux résines époxy (obligation employeur).</w:t>
            </w:r>
          </w:p>
        </w:tc>
        <w:tc>
          <w:tcPr>
            <w:tcW w:type="dxa" w:w="2289"/>
            <w:tcBorders>
              <w:bottom w:val="single" w:sz="4" w:space="0" w:color="DFE7E3"/>
            </w:tcBorders>
          </w:tcPr>
          <w:p>
            <w:r>
              <w:rPr>
                <w:b w:val="0"/>
                <w:i w:val="0"/>
                <w:color w:val="33403B"/>
                <w:sz w:val="18"/>
              </w:rPr>
              <w:t>Données de santé, résultats d'examens médicaux</w:t>
            </w:r>
          </w:p>
        </w:tc>
        <w:tc>
          <w:tcPr>
            <w:tcW w:type="dxa" w:w="1653"/>
            <w:tcBorders>
              <w:bottom w:val="single" w:sz="4" w:space="0" w:color="DFE7E3"/>
            </w:tcBorders>
          </w:tcPr>
          <w:p>
            <w:r>
              <w:rPr>
                <w:b w:val="0"/>
                <w:i w:val="0"/>
                <w:color w:val="33403B"/>
                <w:sz w:val="18"/>
              </w:rPr>
              <w:t>40 ans après la fin d'exposition (Code du travail)</w:t>
            </w:r>
          </w:p>
        </w:tc>
      </w:tr>
    </w:tbl>
    <w:p/>
    <w:p>
      <w:pPr>
        <w:spacing w:before="200" w:after="40"/>
      </w:pPr>
      <w:r>
        <w:rPr>
          <w:b/>
          <w:i w:val="0"/>
          <w:color w:val="0C2317"/>
          <w:sz w:val="21"/>
        </w:rPr>
        <w:t>4.2 Analyse d'impact — les quatre volets</w:t>
      </w:r>
    </w:p>
    <w:tbl>
      <w:tblPr>
        <w:tblW w:type="auto" w:w="0"/>
        <w:jc w:val="left"/>
        <w:tblLayout w:type="fixed"/>
        <w:tblLook w:firstColumn="1" w:firstRow="1" w:lastColumn="0" w:lastRow="0" w:noHBand="0" w:noVBand="1" w:val="04A0"/>
      </w:tblPr>
      <w:tblGrid>
        <w:gridCol w:w="3765"/>
        <w:gridCol w:w="5647"/>
      </w:tblGrid>
      <w:tr>
        <w:tc>
          <w:tcPr>
            <w:tcW w:type="dxa" w:w="3765"/>
            <w:shd w:val="clear" w:color="auto" w:fill="F2FBF7"/>
            <w:tcBorders>
              <w:bottom w:val="single" w:sz="6" w:space="0" w:color="C9DBD3"/>
            </w:tcBorders>
          </w:tcPr>
          <w:p>
            <w:r>
              <w:rPr>
                <w:b/>
                <w:i w:val="0"/>
                <w:color w:val="0C2317"/>
                <w:sz w:val="16"/>
              </w:rPr>
              <w:t>Volet d'analyse</w:t>
            </w:r>
          </w:p>
        </w:tc>
        <w:tc>
          <w:tcPr>
            <w:tcW w:type="dxa" w:w="5647"/>
            <w:shd w:val="clear" w:color="auto" w:fill="F2FBF7"/>
            <w:tcBorders>
              <w:bottom w:val="single" w:sz="6" w:space="0" w:color="C9DBD3"/>
            </w:tcBorders>
          </w:tcPr>
          <w:p>
            <w:r>
              <w:rPr>
                <w:b/>
                <w:i w:val="0"/>
                <w:color w:val="0C2317"/>
                <w:sz w:val="16"/>
              </w:rPr>
              <w:t>Contenu</w:t>
            </w:r>
          </w:p>
        </w:tc>
      </w:tr>
      <w:tr>
        <w:tc>
          <w:tcPr>
            <w:tcW w:type="dxa" w:w="3765"/>
            <w:tcBorders>
              <w:bottom w:val="single" w:sz="4" w:space="0" w:color="DFE7E3"/>
            </w:tcBorders>
          </w:tcPr>
          <w:p>
            <w:r>
              <w:rPr>
                <w:b w:val="0"/>
                <w:i w:val="0"/>
                <w:color w:val="33403B"/>
                <w:sz w:val="18"/>
              </w:rPr>
              <w:t>Description systématique du traitement</w:t>
            </w:r>
          </w:p>
        </w:tc>
        <w:tc>
          <w:tcPr>
            <w:tcW w:type="dxa" w:w="5647"/>
            <w:tcBorders>
              <w:bottom w:val="single" w:sz="4" w:space="0" w:color="DFE7E3"/>
            </w:tcBorders>
          </w:tcPr>
          <w:p>
            <w:r>
              <w:rPr>
                <w:b w:val="0"/>
                <w:i w:val="0"/>
                <w:color w:val="33403B"/>
                <w:sz w:val="18"/>
              </w:rPr>
              <w:t>Vidéoprotection continue des 6 accès aux ateliers et au laboratoire R&amp;D, avec conservation 30 jours et consultation restreinte à deux personnes habilitées. Finalité double : sécurité des personnes (machines dangereuses) et protection du secret industriel.</w:t>
            </w:r>
          </w:p>
        </w:tc>
      </w:tr>
      <w:tr>
        <w:tc>
          <w:tcPr>
            <w:tcW w:type="dxa" w:w="3765"/>
            <w:tcBorders>
              <w:bottom w:val="single" w:sz="4" w:space="0" w:color="DFE7E3"/>
            </w:tcBorders>
          </w:tcPr>
          <w:p>
            <w:r>
              <w:rPr>
                <w:b w:val="0"/>
                <w:i w:val="0"/>
                <w:color w:val="33403B"/>
                <w:sz w:val="18"/>
              </w:rPr>
              <w:t>Nécessité et proportionnalité</w:t>
            </w:r>
          </w:p>
        </w:tc>
        <w:tc>
          <w:tcPr>
            <w:tcW w:type="dxa" w:w="5647"/>
            <w:tcBorders>
              <w:bottom w:val="single" w:sz="4" w:space="0" w:color="DFE7E3"/>
            </w:tcBorders>
          </w:tcPr>
          <w:p>
            <w:r>
              <w:rPr>
                <w:b w:val="0"/>
                <w:i w:val="0"/>
                <w:color w:val="33403B"/>
                <w:sz w:val="18"/>
              </w:rPr>
              <w:t>La protection du secret industriel justifie un contrôle des accès au laboratoire, mais la vidéoprotection continue des postes de travail en atelier excède ce qui est nécessaire : le champ des caméras 3 et 4 a été réduit aux seules zones de passage, et l'enregistrement audio désactivé.</w:t>
            </w:r>
          </w:p>
        </w:tc>
      </w:tr>
      <w:tr>
        <w:tc>
          <w:tcPr>
            <w:tcW w:type="dxa" w:w="3765"/>
            <w:tcBorders>
              <w:bottom w:val="single" w:sz="4" w:space="0" w:color="DFE7E3"/>
            </w:tcBorders>
          </w:tcPr>
          <w:p>
            <w:r>
              <w:rPr>
                <w:b w:val="0"/>
                <w:i w:val="0"/>
                <w:color w:val="33403B"/>
                <w:sz w:val="18"/>
              </w:rPr>
              <w:t>Risques pour les droits et libertés</w:t>
            </w:r>
          </w:p>
        </w:tc>
        <w:tc>
          <w:tcPr>
            <w:tcW w:type="dxa" w:w="5647"/>
            <w:tcBorders>
              <w:bottom w:val="single" w:sz="4" w:space="0" w:color="DFE7E3"/>
            </w:tcBorders>
          </w:tcPr>
          <w:p>
            <w:r>
              <w:rPr>
                <w:b w:val="0"/>
                <w:i w:val="0"/>
                <w:color w:val="33403B"/>
                <w:sz w:val="18"/>
              </w:rPr>
              <w:t>Origine : accès illégitime d'un tiers au NVR, exposé sur le même VLAN que la bureautique. Risque : surveillance permanente de salariés identifiables (gravité Élevée, vraisemblance Moyenne au vu de l'absence de segmentation). Impact sur les personnes : sentiment de surveillance constante, détournement possible à des fins disciplinaires.</w:t>
            </w:r>
          </w:p>
        </w:tc>
      </w:tr>
      <w:tr>
        <w:tc>
          <w:tcPr>
            <w:tcW w:type="dxa" w:w="3765"/>
            <w:tcBorders>
              <w:bottom w:val="single" w:sz="4" w:space="0" w:color="DFE7E3"/>
            </w:tcBorders>
          </w:tcPr>
          <w:p>
            <w:r>
              <w:rPr>
                <w:b w:val="0"/>
                <w:i w:val="0"/>
                <w:color w:val="33403B"/>
                <w:sz w:val="18"/>
              </w:rPr>
              <w:t>Mesures d'atténuation</w:t>
            </w:r>
          </w:p>
        </w:tc>
        <w:tc>
          <w:tcPr>
            <w:tcW w:type="dxa" w:w="5647"/>
            <w:tcBorders>
              <w:bottom w:val="single" w:sz="4" w:space="0" w:color="DFE7E3"/>
            </w:tcBorders>
          </w:tcPr>
          <w:p>
            <w:r>
              <w:rPr>
                <w:b w:val="0"/>
                <w:i w:val="0"/>
                <w:color w:val="33403B"/>
                <w:sz w:val="18"/>
              </w:rPr>
              <w:t>Segmentation du NVR sur un VLAN dédié, authentification nominative des deux habilités avec journalisation des consultations, réduction du champ des caméras 3 et 4, affichage et information des salariés, consultation du CSE actée en séance du 12/06/2026.</w:t>
            </w:r>
          </w:p>
        </w:tc>
      </w:tr>
    </w:tbl>
    <w:p/>
    <w:p>
      <w:pPr>
        <w:spacing w:before="200" w:after="40"/>
      </w:pPr>
      <w:r>
        <w:rPr>
          <w:b/>
          <w:i w:val="0"/>
          <w:color w:val="0C2317"/>
          <w:sz w:val="21"/>
        </w:rPr>
        <w:t>4.3 Obligations organisationnelles</w:t>
      </w:r>
    </w:p>
    <w:tbl>
      <w:tblPr>
        <w:tblW w:type="auto" w:w="0"/>
        <w:jc w:val="left"/>
        <w:tblLayout w:type="fixed"/>
        <w:tblLook w:firstColumn="1" w:firstRow="1" w:lastColumn="0" w:lastRow="0" w:noHBand="0" w:noVBand="1" w:val="04A0"/>
      </w:tblPr>
      <w:tblGrid>
        <w:gridCol w:w="3036"/>
        <w:gridCol w:w="1822"/>
        <w:gridCol w:w="1518"/>
        <w:gridCol w:w="3036"/>
      </w:tblGrid>
      <w:tr>
        <w:tc>
          <w:tcPr>
            <w:tcW w:type="dxa" w:w="3036"/>
            <w:shd w:val="clear" w:color="auto" w:fill="F2FBF7"/>
            <w:tcBorders>
              <w:bottom w:val="single" w:sz="6" w:space="0" w:color="C9DBD3"/>
            </w:tcBorders>
          </w:tcPr>
          <w:p>
            <w:r>
              <w:rPr>
                <w:b/>
                <w:i w:val="0"/>
                <w:color w:val="0C2317"/>
                <w:sz w:val="16"/>
              </w:rPr>
              <w:t>Obligation</w:t>
            </w:r>
          </w:p>
        </w:tc>
        <w:tc>
          <w:tcPr>
            <w:tcW w:type="dxa" w:w="1822"/>
            <w:shd w:val="clear" w:color="auto" w:fill="F2FBF7"/>
            <w:tcBorders>
              <w:bottom w:val="single" w:sz="6" w:space="0" w:color="C9DBD3"/>
            </w:tcBorders>
          </w:tcPr>
          <w:p>
            <w:r>
              <w:rPr>
                <w:b/>
                <w:i w:val="0"/>
                <w:color w:val="0C2317"/>
                <w:sz w:val="16"/>
              </w:rPr>
              <w:t>Référence</w:t>
            </w:r>
          </w:p>
        </w:tc>
        <w:tc>
          <w:tcPr>
            <w:tcW w:type="dxa" w:w="1518"/>
            <w:shd w:val="clear" w:color="auto" w:fill="F2FBF7"/>
            <w:tcBorders>
              <w:bottom w:val="single" w:sz="6" w:space="0" w:color="C9DBD3"/>
            </w:tcBorders>
          </w:tcPr>
          <w:p>
            <w:r>
              <w:rPr>
                <w:b/>
                <w:i w:val="0"/>
                <w:color w:val="0C2317"/>
                <w:sz w:val="16"/>
              </w:rPr>
              <w:t>État</w:t>
            </w:r>
          </w:p>
        </w:tc>
        <w:tc>
          <w:tcPr>
            <w:tcW w:type="dxa" w:w="3036"/>
            <w:shd w:val="clear" w:color="auto" w:fill="F2FBF7"/>
            <w:tcBorders>
              <w:bottom w:val="single" w:sz="6" w:space="0" w:color="C9DBD3"/>
            </w:tcBorders>
          </w:tcPr>
          <w:p>
            <w:r>
              <w:rPr>
                <w:b/>
                <w:i w:val="0"/>
                <w:color w:val="0C2317"/>
                <w:sz w:val="16"/>
              </w:rPr>
              <w:t>Commentaire</w:t>
            </w:r>
          </w:p>
        </w:tc>
      </w:tr>
      <w:tr>
        <w:tc>
          <w:tcPr>
            <w:tcW w:type="dxa" w:w="3036"/>
            <w:tcBorders>
              <w:bottom w:val="single" w:sz="4" w:space="0" w:color="DFE7E3"/>
            </w:tcBorders>
          </w:tcPr>
          <w:p>
            <w:r>
              <w:rPr>
                <w:b w:val="0"/>
                <w:i w:val="0"/>
                <w:color w:val="33403B"/>
                <w:sz w:val="18"/>
              </w:rPr>
              <w:t>Avis du délégué à la protection des données recueilli</w:t>
            </w:r>
          </w:p>
        </w:tc>
        <w:tc>
          <w:tcPr>
            <w:tcW w:type="dxa" w:w="1822"/>
            <w:tcBorders>
              <w:bottom w:val="single" w:sz="4" w:space="0" w:color="DFE7E3"/>
            </w:tcBorders>
          </w:tcPr>
          <w:p>
            <w:r>
              <w:rPr>
                <w:b w:val="0"/>
                <w:i w:val="0"/>
                <w:color w:val="33403B"/>
                <w:sz w:val="18"/>
              </w:rPr>
              <w:t>RGPD Art. 35 §2</w:t>
            </w:r>
          </w:p>
        </w:tc>
        <w:tc>
          <w:tcPr>
            <w:tcW w:type="dxa" w:w="1518"/>
            <w:tcBorders>
              <w:bottom w:val="single" w:sz="4" w:space="0" w:color="DFE7E3"/>
            </w:tcBorders>
          </w:tcPr>
          <w:p>
            <w:r>
              <w:rPr>
                <w:b w:val="0"/>
                <w:i w:val="0"/>
                <w:color w:val="33403B"/>
                <w:sz w:val="18"/>
              </w:rPr>
              <w:t>Fait</w:t>
            </w:r>
          </w:p>
        </w:tc>
        <w:tc>
          <w:tcPr>
            <w:tcW w:type="dxa" w:w="3036"/>
            <w:tcBorders>
              <w:bottom w:val="single" w:sz="4" w:space="0" w:color="DFE7E3"/>
            </w:tcBorders>
          </w:tcPr>
          <w:p>
            <w:r>
              <w:rPr>
                <w:b w:val="0"/>
                <w:i w:val="0"/>
                <w:color w:val="33403B"/>
                <w:sz w:val="18"/>
              </w:rPr>
              <w:t>DPO externe mutualisé — avis favorable rendu le 18/06/2026 sous réserve de la réduction du champ des caméras.</w:t>
            </w:r>
          </w:p>
        </w:tc>
      </w:tr>
      <w:tr>
        <w:tc>
          <w:tcPr>
            <w:tcW w:type="dxa" w:w="3036"/>
            <w:tcBorders>
              <w:bottom w:val="single" w:sz="4" w:space="0" w:color="DFE7E3"/>
            </w:tcBorders>
          </w:tcPr>
          <w:p>
            <w:r>
              <w:rPr>
                <w:b w:val="0"/>
                <w:i w:val="0"/>
                <w:color w:val="33403B"/>
                <w:sz w:val="18"/>
              </w:rPr>
              <w:t>Avis des personnes concernées recueilli (ou motif de non-consultation)</w:t>
            </w:r>
          </w:p>
        </w:tc>
        <w:tc>
          <w:tcPr>
            <w:tcW w:type="dxa" w:w="1822"/>
            <w:tcBorders>
              <w:bottom w:val="single" w:sz="4" w:space="0" w:color="DFE7E3"/>
            </w:tcBorders>
          </w:tcPr>
          <w:p>
            <w:r>
              <w:rPr>
                <w:b w:val="0"/>
                <w:i w:val="0"/>
                <w:color w:val="33403B"/>
                <w:sz w:val="18"/>
              </w:rPr>
              <w:t>RGPD Art. 35 §9</w:t>
            </w:r>
          </w:p>
        </w:tc>
        <w:tc>
          <w:tcPr>
            <w:tcW w:type="dxa" w:w="1518"/>
            <w:tcBorders>
              <w:bottom w:val="single" w:sz="4" w:space="0" w:color="DFE7E3"/>
            </w:tcBorders>
          </w:tcPr>
          <w:p>
            <w:r>
              <w:rPr>
                <w:b w:val="0"/>
                <w:i w:val="0"/>
                <w:color w:val="33403B"/>
                <w:sz w:val="18"/>
              </w:rPr>
              <w:t>Fait</w:t>
            </w:r>
          </w:p>
        </w:tc>
        <w:tc>
          <w:tcPr>
            <w:tcW w:type="dxa" w:w="3036"/>
            <w:tcBorders>
              <w:bottom w:val="single" w:sz="4" w:space="0" w:color="DFE7E3"/>
            </w:tcBorders>
          </w:tcPr>
          <w:p>
            <w:r>
              <w:rPr>
                <w:b w:val="0"/>
                <w:i w:val="0"/>
                <w:color w:val="33403B"/>
                <w:sz w:val="18"/>
              </w:rPr>
              <w:t>CSE consulté le 12/06/2026, avis favorable ; note d'information remise aux 204 salariés.</w:t>
            </w:r>
          </w:p>
        </w:tc>
      </w:tr>
      <w:tr>
        <w:tc>
          <w:tcPr>
            <w:tcW w:type="dxa" w:w="3036"/>
            <w:tcBorders>
              <w:bottom w:val="single" w:sz="4" w:space="0" w:color="DFE7E3"/>
            </w:tcBorders>
          </w:tcPr>
          <w:p>
            <w:r>
              <w:rPr>
                <w:b w:val="0"/>
                <w:i w:val="0"/>
                <w:color w:val="33403B"/>
                <w:sz w:val="18"/>
              </w:rPr>
              <w:t>Confrontation aux listes CNIL des traitements soumis / exemptés</w:t>
            </w:r>
          </w:p>
        </w:tc>
        <w:tc>
          <w:tcPr>
            <w:tcW w:type="dxa" w:w="1822"/>
            <w:tcBorders>
              <w:bottom w:val="single" w:sz="4" w:space="0" w:color="DFE7E3"/>
            </w:tcBorders>
          </w:tcPr>
          <w:p>
            <w:r>
              <w:rPr>
                <w:b w:val="0"/>
                <w:i w:val="0"/>
                <w:color w:val="33403B"/>
                <w:sz w:val="18"/>
              </w:rPr>
              <w:t>RGPD Art. 35 §4-5</w:t>
            </w:r>
          </w:p>
        </w:tc>
        <w:tc>
          <w:tcPr>
            <w:tcW w:type="dxa" w:w="1518"/>
            <w:tcBorders>
              <w:bottom w:val="single" w:sz="4" w:space="0" w:color="DFE7E3"/>
            </w:tcBorders>
          </w:tcPr>
          <w:p>
            <w:r>
              <w:rPr>
                <w:b w:val="0"/>
                <w:i w:val="0"/>
                <w:color w:val="33403B"/>
                <w:sz w:val="18"/>
              </w:rPr>
              <w:t>Fait</w:t>
            </w:r>
          </w:p>
        </w:tc>
        <w:tc>
          <w:tcPr>
            <w:tcW w:type="dxa" w:w="3036"/>
            <w:tcBorders>
              <w:bottom w:val="single" w:sz="4" w:space="0" w:color="DFE7E3"/>
            </w:tcBorders>
          </w:tcPr>
          <w:p>
            <w:r>
              <w:rPr>
                <w:b w:val="0"/>
                <w:i w:val="0"/>
                <w:color w:val="33403B"/>
                <w:sz w:val="18"/>
              </w:rPr>
              <w:t>Traitement figurant sur la liste CNIL des traitements soumis à AIPD (surveillance systématique de personnes sur un lieu de travail).</w:t>
            </w:r>
          </w:p>
        </w:tc>
      </w:tr>
      <w:tr>
        <w:tc>
          <w:tcPr>
            <w:tcW w:type="dxa" w:w="3036"/>
            <w:tcBorders>
              <w:bottom w:val="single" w:sz="4" w:space="0" w:color="DFE7E3"/>
            </w:tcBorders>
          </w:tcPr>
          <w:p>
            <w:r>
              <w:rPr>
                <w:b w:val="0"/>
                <w:i w:val="0"/>
                <w:color w:val="33403B"/>
                <w:sz w:val="18"/>
              </w:rPr>
              <w:t>Réexamen prévu à chaque évolution du niveau de risque</w:t>
            </w:r>
          </w:p>
        </w:tc>
        <w:tc>
          <w:tcPr>
            <w:tcW w:type="dxa" w:w="1822"/>
            <w:tcBorders>
              <w:bottom w:val="single" w:sz="4" w:space="0" w:color="DFE7E3"/>
            </w:tcBorders>
          </w:tcPr>
          <w:p>
            <w:r>
              <w:rPr>
                <w:b w:val="0"/>
                <w:i w:val="0"/>
                <w:color w:val="33403B"/>
                <w:sz w:val="18"/>
              </w:rPr>
              <w:t>RGPD Art. 35 §11</w:t>
            </w:r>
          </w:p>
        </w:tc>
        <w:tc>
          <w:tcPr>
            <w:tcW w:type="dxa" w:w="1518"/>
            <w:tcBorders>
              <w:bottom w:val="single" w:sz="4" w:space="0" w:color="DFE7E3"/>
            </w:tcBorders>
          </w:tcPr>
          <w:p>
            <w:r>
              <w:rPr>
                <w:b w:val="0"/>
                <w:i w:val="0"/>
                <w:color w:val="33403B"/>
                <w:sz w:val="18"/>
              </w:rPr>
              <w:t>Fait</w:t>
            </w:r>
          </w:p>
        </w:tc>
        <w:tc>
          <w:tcPr>
            <w:tcW w:type="dxa" w:w="3036"/>
            <w:tcBorders>
              <w:bottom w:val="single" w:sz="4" w:space="0" w:color="DFE7E3"/>
            </w:tcBorders>
          </w:tcPr>
          <w:p>
            <w:r>
              <w:rPr>
                <w:b w:val="0"/>
                <w:i w:val="0"/>
                <w:color w:val="33403B"/>
                <w:sz w:val="18"/>
              </w:rPr>
              <w:t>Réexamen déclenché par tout ajout de caméra, toute extension de durée de conservation, ou au plus tard le 30/06/2028.</w:t>
            </w:r>
          </w:p>
        </w:tc>
      </w:tr>
      <w:tr>
        <w:tc>
          <w:tcPr>
            <w:tcW w:type="dxa" w:w="3036"/>
            <w:tcBorders>
              <w:bottom w:val="single" w:sz="4" w:space="0" w:color="DFE7E3"/>
            </w:tcBorders>
          </w:tcPr>
          <w:p>
            <w:r>
              <w:rPr>
                <w:b w:val="0"/>
                <w:i w:val="0"/>
                <w:color w:val="33403B"/>
                <w:sz w:val="18"/>
              </w:rPr>
              <w:t>Consultation préalable de la CNIL avant mise en œuvre</w:t>
            </w:r>
          </w:p>
        </w:tc>
        <w:tc>
          <w:tcPr>
            <w:tcW w:type="dxa" w:w="1822"/>
            <w:tcBorders>
              <w:bottom w:val="single" w:sz="4" w:space="0" w:color="DFE7E3"/>
            </w:tcBorders>
          </w:tcPr>
          <w:p>
            <w:r>
              <w:rPr>
                <w:b w:val="0"/>
                <w:i w:val="0"/>
                <w:color w:val="33403B"/>
                <w:sz w:val="18"/>
              </w:rPr>
              <w:t>RGPD Art. 36 §1</w:t>
            </w:r>
          </w:p>
        </w:tc>
        <w:tc>
          <w:tcPr>
            <w:tcW w:type="dxa" w:w="1518"/>
            <w:tcBorders>
              <w:bottom w:val="single" w:sz="4" w:space="0" w:color="DFE7E3"/>
            </w:tcBorders>
          </w:tcPr>
          <w:p>
            <w:r>
              <w:rPr>
                <w:b w:val="0"/>
                <w:i w:val="0"/>
                <w:color w:val="33403B"/>
                <w:sz w:val="18"/>
              </w:rPr>
              <w:t>Non applicable (risque résiduel non élevé)</w:t>
            </w:r>
          </w:p>
        </w:tc>
        <w:tc>
          <w:tcPr>
            <w:tcW w:type="dxa" w:w="3036"/>
            <w:tcBorders>
              <w:bottom w:val="single" w:sz="4" w:space="0" w:color="DFE7E3"/>
            </w:tcBorders>
          </w:tcPr>
          <w:p>
            <w:r>
              <w:rPr>
                <w:b w:val="0"/>
                <w:i w:val="0"/>
                <w:color w:val="33403B"/>
                <w:sz w:val="18"/>
              </w:rPr>
              <w:t>—</w:t>
            </w:r>
          </w:p>
        </w:tc>
      </w:tr>
    </w:tbl>
    <w:p/>
    <w:p>
      <w:pPr>
        <w:spacing w:before="400" w:after="160"/>
        <w:pBdr>
          <w:bottom w:val="single" w:sz="16" w:space="4" w:color="2EE6A0"/>
        </w:pBdr>
      </w:pPr>
      <w:r>
        <w:rPr>
          <w:b/>
          <w:i w:val="0"/>
          <w:color w:val="2EE6A0"/>
          <w:sz w:val="28"/>
        </w:rPr>
        <w:t xml:space="preserve">5. </w:t>
      </w:r>
      <w:r>
        <w:rPr>
          <w:b/>
          <w:i w:val="0"/>
          <w:color w:val="0C2317"/>
          <w:sz w:val="28"/>
        </w:rPr>
        <w:t>Analyse de risque</w:t>
      </w:r>
    </w:p>
    <w:p>
      <w:pPr>
        <w:spacing w:before="200" w:after="40"/>
      </w:pPr>
      <w:r>
        <w:rPr>
          <w:b/>
          <w:i w:val="0"/>
          <w:color w:val="0C2317"/>
          <w:sz w:val="21"/>
        </w:rPr>
        <w:t>5.1 Événements redoutés</w:t>
      </w:r>
    </w:p>
    <w:tbl>
      <w:tblPr>
        <w:tblW w:type="auto" w:w="0"/>
        <w:jc w:val="left"/>
        <w:tblLayout w:type="fixed"/>
        <w:tblLook w:firstColumn="1" w:firstRow="1" w:lastColumn="0" w:lastRow="0" w:noHBand="0" w:noVBand="1" w:val="04A0"/>
      </w:tblPr>
      <w:tblGrid>
        <w:gridCol w:w="1098"/>
        <w:gridCol w:w="3137"/>
        <w:gridCol w:w="1255"/>
        <w:gridCol w:w="3922"/>
      </w:tblGrid>
      <w:tr>
        <w:tc>
          <w:tcPr>
            <w:tcW w:type="dxa" w:w="1098"/>
            <w:shd w:val="clear" w:color="auto" w:fill="F2FBF7"/>
            <w:tcBorders>
              <w:bottom w:val="single" w:sz="6" w:space="0" w:color="C9DBD3"/>
            </w:tcBorders>
          </w:tcPr>
          <w:p>
            <w:r>
              <w:rPr>
                <w:b/>
                <w:i w:val="0"/>
                <w:color w:val="0C2317"/>
                <w:sz w:val="16"/>
              </w:rPr>
              <w:t>ID</w:t>
            </w:r>
          </w:p>
        </w:tc>
        <w:tc>
          <w:tcPr>
            <w:tcW w:type="dxa" w:w="3137"/>
            <w:shd w:val="clear" w:color="auto" w:fill="F2FBF7"/>
            <w:tcBorders>
              <w:bottom w:val="single" w:sz="6" w:space="0" w:color="C9DBD3"/>
            </w:tcBorders>
          </w:tcPr>
          <w:p>
            <w:r>
              <w:rPr>
                <w:b/>
                <w:i w:val="0"/>
                <w:color w:val="0C2317"/>
                <w:sz w:val="16"/>
              </w:rPr>
              <w:t>Événement redouté</w:t>
            </w:r>
          </w:p>
        </w:tc>
        <w:tc>
          <w:tcPr>
            <w:tcW w:type="dxa" w:w="1255"/>
            <w:shd w:val="clear" w:color="auto" w:fill="F2FBF7"/>
            <w:tcBorders>
              <w:bottom w:val="single" w:sz="6" w:space="0" w:color="C9DBD3"/>
            </w:tcBorders>
          </w:tcPr>
          <w:p>
            <w:pPr>
              <w:jc w:val="right"/>
            </w:pPr>
            <w:r>
              <w:rPr>
                <w:b/>
                <w:i w:val="0"/>
                <w:color w:val="0C2317"/>
                <w:sz w:val="16"/>
              </w:rPr>
              <w:t>Gravité</w:t>
            </w:r>
          </w:p>
        </w:tc>
        <w:tc>
          <w:tcPr>
            <w:tcW w:type="dxa" w:w="3922"/>
            <w:shd w:val="clear" w:color="auto" w:fill="F2FBF7"/>
            <w:tcBorders>
              <w:bottom w:val="single" w:sz="6" w:space="0" w:color="C9DBD3"/>
            </w:tcBorders>
          </w:tcPr>
          <w:p>
            <w:r>
              <w:rPr>
                <w:b/>
                <w:i w:val="0"/>
                <w:color w:val="0C2317"/>
                <w:sz w:val="16"/>
              </w:rPr>
              <w:t>Impacts</w:t>
            </w:r>
          </w:p>
        </w:tc>
      </w:tr>
      <w:tr>
        <w:tc>
          <w:tcPr>
            <w:tcW w:type="dxa" w:w="1098"/>
            <w:tcBorders>
              <w:bottom w:val="single" w:sz="4" w:space="0" w:color="DFE7E3"/>
            </w:tcBorders>
          </w:tcPr>
          <w:p>
            <w:r>
              <w:rPr>
                <w:b w:val="0"/>
                <w:i w:val="0"/>
                <w:color w:val="33403B"/>
                <w:sz w:val="18"/>
              </w:rPr>
              <w:t>ER-01</w:t>
            </w:r>
          </w:p>
        </w:tc>
        <w:tc>
          <w:tcPr>
            <w:tcW w:type="dxa" w:w="3137"/>
            <w:tcBorders>
              <w:bottom w:val="single" w:sz="4" w:space="0" w:color="DFE7E3"/>
            </w:tcBorders>
          </w:tcPr>
          <w:p>
            <w:r>
              <w:rPr>
                <w:b w:val="0"/>
                <w:i w:val="0"/>
                <w:color w:val="33403B"/>
                <w:sz w:val="18"/>
              </w:rPr>
              <w:t>Chiffrement du SI de production par rançongiciel</w:t>
            </w:r>
          </w:p>
        </w:tc>
        <w:tc>
          <w:tcPr>
            <w:tcW w:type="dxa" w:w="1255"/>
            <w:tcBorders>
              <w:bottom w:val="single" w:sz="4" w:space="0" w:color="DFE7E3"/>
            </w:tcBorders>
          </w:tcPr>
          <w:p>
            <w:pPr>
              <w:jc w:val="right"/>
            </w:pPr>
            <w:r>
              <w:rPr>
                <w:b w:val="0"/>
                <w:i w:val="0"/>
                <w:color w:val="33403B"/>
                <w:sz w:val="18"/>
              </w:rPr>
              <w:t>4/4</w:t>
            </w:r>
          </w:p>
        </w:tc>
        <w:tc>
          <w:tcPr>
            <w:tcW w:type="dxa" w:w="3922"/>
            <w:tcBorders>
              <w:bottom w:val="single" w:sz="4" w:space="0" w:color="DFE7E3"/>
            </w:tcBorders>
          </w:tcPr>
          <w:p>
            <w:r>
              <w:rPr>
                <w:b w:val="0"/>
                <w:i w:val="0"/>
                <w:color w:val="33403B"/>
                <w:sz w:val="18"/>
              </w:rPr>
              <w:t>Arrêt des 4 fours de cuisson, 38 k€/jour ouvré, pénalités de retard contractuelles au-delà de 5 jours.</w:t>
            </w:r>
          </w:p>
        </w:tc>
      </w:tr>
      <w:tr>
        <w:tc>
          <w:tcPr>
            <w:tcW w:type="dxa" w:w="1098"/>
            <w:tcBorders>
              <w:bottom w:val="single" w:sz="4" w:space="0" w:color="DFE7E3"/>
            </w:tcBorders>
          </w:tcPr>
          <w:p>
            <w:r>
              <w:rPr>
                <w:b w:val="0"/>
                <w:i w:val="0"/>
                <w:color w:val="33403B"/>
                <w:sz w:val="18"/>
              </w:rPr>
              <w:t>ER-02</w:t>
            </w:r>
          </w:p>
        </w:tc>
        <w:tc>
          <w:tcPr>
            <w:tcW w:type="dxa" w:w="3137"/>
            <w:tcBorders>
              <w:bottom w:val="single" w:sz="4" w:space="0" w:color="DFE7E3"/>
            </w:tcBorders>
          </w:tcPr>
          <w:p>
            <w:r>
              <w:rPr>
                <w:b w:val="0"/>
                <w:i w:val="0"/>
                <w:color w:val="33403B"/>
                <w:sz w:val="18"/>
              </w:rPr>
              <w:t>Exfiltration des formulations composites</w:t>
            </w:r>
          </w:p>
        </w:tc>
        <w:tc>
          <w:tcPr>
            <w:tcW w:type="dxa" w:w="1255"/>
            <w:tcBorders>
              <w:bottom w:val="single" w:sz="4" w:space="0" w:color="DFE7E3"/>
            </w:tcBorders>
          </w:tcPr>
          <w:p>
            <w:pPr>
              <w:jc w:val="right"/>
            </w:pPr>
            <w:r>
              <w:rPr>
                <w:b w:val="0"/>
                <w:i w:val="0"/>
                <w:color w:val="33403B"/>
                <w:sz w:val="18"/>
              </w:rPr>
              <w:t>4/4</w:t>
            </w:r>
          </w:p>
        </w:tc>
        <w:tc>
          <w:tcPr>
            <w:tcW w:type="dxa" w:w="3922"/>
            <w:tcBorders>
              <w:bottom w:val="single" w:sz="4" w:space="0" w:color="DFE7E3"/>
            </w:tcBorders>
          </w:tcPr>
          <w:p>
            <w:r>
              <w:rPr>
                <w:b w:val="0"/>
                <w:i w:val="0"/>
                <w:color w:val="33403B"/>
                <w:sz w:val="18"/>
              </w:rPr>
              <w:t>Perte définitive de l'avantage concurrentiel : les formulations ne sont pas brevetées et leur valeur repose entièrement sur le secret.</w:t>
            </w:r>
          </w:p>
        </w:tc>
      </w:tr>
      <w:tr>
        <w:tc>
          <w:tcPr>
            <w:tcW w:type="dxa" w:w="1098"/>
            <w:tcBorders>
              <w:bottom w:val="single" w:sz="4" w:space="0" w:color="DFE7E3"/>
            </w:tcBorders>
          </w:tcPr>
          <w:p>
            <w:r>
              <w:rPr>
                <w:b w:val="0"/>
                <w:i w:val="0"/>
                <w:color w:val="33403B"/>
                <w:sz w:val="18"/>
              </w:rPr>
              <w:t>ER-03</w:t>
            </w:r>
          </w:p>
        </w:tc>
        <w:tc>
          <w:tcPr>
            <w:tcW w:type="dxa" w:w="3137"/>
            <w:tcBorders>
              <w:bottom w:val="single" w:sz="4" w:space="0" w:color="DFE7E3"/>
            </w:tcBorders>
          </w:tcPr>
          <w:p>
            <w:r>
              <w:rPr>
                <w:b w:val="0"/>
                <w:i w:val="0"/>
                <w:color w:val="33403B"/>
                <w:sz w:val="18"/>
              </w:rPr>
              <w:t>Falsification d'un dossier de qualification client</w:t>
            </w:r>
          </w:p>
        </w:tc>
        <w:tc>
          <w:tcPr>
            <w:tcW w:type="dxa" w:w="1255"/>
            <w:tcBorders>
              <w:bottom w:val="single" w:sz="4" w:space="0" w:color="DFE7E3"/>
            </w:tcBorders>
          </w:tcPr>
          <w:p>
            <w:pPr>
              <w:jc w:val="right"/>
            </w:pPr>
            <w:r>
              <w:rPr>
                <w:b w:val="0"/>
                <w:i w:val="0"/>
                <w:color w:val="33403B"/>
                <w:sz w:val="18"/>
              </w:rPr>
              <w:t>3/4</w:t>
            </w:r>
          </w:p>
        </w:tc>
        <w:tc>
          <w:tcPr>
            <w:tcW w:type="dxa" w:w="3922"/>
            <w:tcBorders>
              <w:bottom w:val="single" w:sz="4" w:space="0" w:color="DFE7E3"/>
            </w:tcBorders>
          </w:tcPr>
          <w:p>
            <w:r>
              <w:rPr>
                <w:b w:val="0"/>
                <w:i w:val="0"/>
                <w:color w:val="33403B"/>
                <w:sz w:val="18"/>
              </w:rPr>
              <w:t>Perte de la qualification aéronautique, exclusion de la chaîne d'approvisionnement du donneur d'ordre.</w:t>
            </w:r>
          </w:p>
        </w:tc>
      </w:tr>
      <w:tr>
        <w:tc>
          <w:tcPr>
            <w:tcW w:type="dxa" w:w="1098"/>
            <w:tcBorders>
              <w:bottom w:val="single" w:sz="4" w:space="0" w:color="DFE7E3"/>
            </w:tcBorders>
          </w:tcPr>
          <w:p>
            <w:r>
              <w:rPr>
                <w:b w:val="0"/>
                <w:i w:val="0"/>
                <w:color w:val="33403B"/>
                <w:sz w:val="18"/>
              </w:rPr>
              <w:t>ER-04</w:t>
            </w:r>
          </w:p>
        </w:tc>
        <w:tc>
          <w:tcPr>
            <w:tcW w:type="dxa" w:w="3137"/>
            <w:tcBorders>
              <w:bottom w:val="single" w:sz="4" w:space="0" w:color="DFE7E3"/>
            </w:tcBorders>
          </w:tcPr>
          <w:p>
            <w:r>
              <w:rPr>
                <w:b w:val="0"/>
                <w:i w:val="0"/>
                <w:color w:val="33403B"/>
                <w:sz w:val="18"/>
              </w:rPr>
              <w:t>Divulgation des données de santé au travail</w:t>
            </w:r>
          </w:p>
        </w:tc>
        <w:tc>
          <w:tcPr>
            <w:tcW w:type="dxa" w:w="1255"/>
            <w:tcBorders>
              <w:bottom w:val="single" w:sz="4" w:space="0" w:color="DFE7E3"/>
            </w:tcBorders>
          </w:tcPr>
          <w:p>
            <w:pPr>
              <w:jc w:val="right"/>
            </w:pPr>
            <w:r>
              <w:rPr>
                <w:b w:val="0"/>
                <w:i w:val="0"/>
                <w:color w:val="33403B"/>
                <w:sz w:val="18"/>
              </w:rPr>
              <w:t>3/4</w:t>
            </w:r>
          </w:p>
        </w:tc>
        <w:tc>
          <w:tcPr>
            <w:tcW w:type="dxa" w:w="3922"/>
            <w:tcBorders>
              <w:bottom w:val="single" w:sz="4" w:space="0" w:color="DFE7E3"/>
            </w:tcBorders>
          </w:tcPr>
          <w:p>
            <w:r>
              <w:rPr>
                <w:b w:val="0"/>
                <w:i w:val="0"/>
                <w:color w:val="33403B"/>
                <w:sz w:val="18"/>
              </w:rPr>
              <w:t>Atteinte grave à la vie privée de salariés identifiables, sanction CNIL, conflit social.</w:t>
            </w:r>
          </w:p>
        </w:tc>
      </w:tr>
    </w:tbl>
    <w:p/>
    <w:p>
      <w:pPr>
        <w:spacing w:before="200" w:after="40"/>
      </w:pPr>
      <w:r>
        <w:rPr>
          <w:b/>
          <w:i w:val="0"/>
          <w:color w:val="0C2317"/>
          <w:sz w:val="21"/>
        </w:rPr>
        <w:t>5.2 Sources de risque</w:t>
      </w:r>
    </w:p>
    <w:tbl>
      <w:tblPr>
        <w:tblW w:type="auto" w:w="0"/>
        <w:jc w:val="left"/>
        <w:tblLayout w:type="fixed"/>
        <w:tblLook w:firstColumn="1" w:firstRow="1" w:lastColumn="0" w:lastRow="0" w:noHBand="0" w:noVBand="1" w:val="04A0"/>
      </w:tblPr>
      <w:tblGrid>
        <w:gridCol w:w="1402"/>
        <w:gridCol w:w="4005"/>
        <w:gridCol w:w="4005"/>
      </w:tblGrid>
      <w:tr>
        <w:tc>
          <w:tcPr>
            <w:tcW w:type="dxa" w:w="1402"/>
            <w:shd w:val="clear" w:color="auto" w:fill="F2FBF7"/>
            <w:tcBorders>
              <w:bottom w:val="single" w:sz="6" w:space="0" w:color="C9DBD3"/>
            </w:tcBorders>
          </w:tcPr>
          <w:p>
            <w:r>
              <w:rPr>
                <w:b/>
                <w:i w:val="0"/>
                <w:color w:val="0C2317"/>
                <w:sz w:val="16"/>
              </w:rPr>
              <w:t>ID</w:t>
            </w:r>
          </w:p>
        </w:tc>
        <w:tc>
          <w:tcPr>
            <w:tcW w:type="dxa" w:w="4005"/>
            <w:shd w:val="clear" w:color="auto" w:fill="F2FBF7"/>
            <w:tcBorders>
              <w:bottom w:val="single" w:sz="6" w:space="0" w:color="C9DBD3"/>
            </w:tcBorders>
          </w:tcPr>
          <w:p>
            <w:r>
              <w:rPr>
                <w:b/>
                <w:i w:val="0"/>
                <w:color w:val="0C2317"/>
                <w:sz w:val="16"/>
              </w:rPr>
              <w:t>Source de risque</w:t>
            </w:r>
          </w:p>
        </w:tc>
        <w:tc>
          <w:tcPr>
            <w:tcW w:type="dxa" w:w="4005"/>
            <w:shd w:val="clear" w:color="auto" w:fill="F2FBF7"/>
            <w:tcBorders>
              <w:bottom w:val="single" w:sz="6" w:space="0" w:color="C9DBD3"/>
            </w:tcBorders>
          </w:tcPr>
          <w:p>
            <w:r>
              <w:rPr>
                <w:b/>
                <w:i w:val="0"/>
                <w:color w:val="0C2317"/>
                <w:sz w:val="16"/>
              </w:rPr>
              <w:t>Objectif visé</w:t>
            </w:r>
          </w:p>
        </w:tc>
      </w:tr>
      <w:tr>
        <w:tc>
          <w:tcPr>
            <w:tcW w:type="dxa" w:w="1402"/>
            <w:tcBorders>
              <w:bottom w:val="single" w:sz="4" w:space="0" w:color="DFE7E3"/>
            </w:tcBorders>
          </w:tcPr>
          <w:p>
            <w:r>
              <w:rPr>
                <w:b w:val="0"/>
                <w:i w:val="0"/>
                <w:color w:val="33403B"/>
                <w:sz w:val="18"/>
              </w:rPr>
              <w:t>SR-01</w:t>
            </w:r>
          </w:p>
        </w:tc>
        <w:tc>
          <w:tcPr>
            <w:tcW w:type="dxa" w:w="4005"/>
            <w:tcBorders>
              <w:bottom w:val="single" w:sz="4" w:space="0" w:color="DFE7E3"/>
            </w:tcBorders>
          </w:tcPr>
          <w:p>
            <w:r>
              <w:rPr>
                <w:b w:val="0"/>
                <w:i w:val="0"/>
                <w:color w:val="33403B"/>
                <w:sz w:val="18"/>
              </w:rPr>
              <w:t>Groupe cybercriminel opérant en rançongiciel-as-a-service</w:t>
            </w:r>
          </w:p>
        </w:tc>
        <w:tc>
          <w:tcPr>
            <w:tcW w:type="dxa" w:w="4005"/>
            <w:tcBorders>
              <w:bottom w:val="single" w:sz="4" w:space="0" w:color="DFE7E3"/>
            </w:tcBorders>
          </w:tcPr>
          <w:p>
            <w:r>
              <w:rPr>
                <w:b w:val="0"/>
                <w:i w:val="0"/>
                <w:color w:val="33403B"/>
                <w:sz w:val="18"/>
              </w:rPr>
              <w:t>Extorsion par double peine : chiffrement puis menace de publication.</w:t>
            </w:r>
          </w:p>
        </w:tc>
      </w:tr>
      <w:tr>
        <w:tc>
          <w:tcPr>
            <w:tcW w:type="dxa" w:w="1402"/>
            <w:tcBorders>
              <w:bottom w:val="single" w:sz="4" w:space="0" w:color="DFE7E3"/>
            </w:tcBorders>
          </w:tcPr>
          <w:p>
            <w:r>
              <w:rPr>
                <w:b w:val="0"/>
                <w:i w:val="0"/>
                <w:color w:val="33403B"/>
                <w:sz w:val="18"/>
              </w:rPr>
              <w:t>SR-02</w:t>
            </w:r>
          </w:p>
        </w:tc>
        <w:tc>
          <w:tcPr>
            <w:tcW w:type="dxa" w:w="4005"/>
            <w:tcBorders>
              <w:bottom w:val="single" w:sz="4" w:space="0" w:color="DFE7E3"/>
            </w:tcBorders>
          </w:tcPr>
          <w:p>
            <w:r>
              <w:rPr>
                <w:b w:val="0"/>
                <w:i w:val="0"/>
                <w:color w:val="33403B"/>
                <w:sz w:val="18"/>
              </w:rPr>
              <w:t>Concurrent étranger via prestataire de maintenance</w:t>
            </w:r>
          </w:p>
        </w:tc>
        <w:tc>
          <w:tcPr>
            <w:tcW w:type="dxa" w:w="4005"/>
            <w:tcBorders>
              <w:bottom w:val="single" w:sz="4" w:space="0" w:color="DFE7E3"/>
            </w:tcBorders>
          </w:tcPr>
          <w:p>
            <w:r>
              <w:rPr>
                <w:b w:val="0"/>
                <w:i w:val="0"/>
                <w:color w:val="33403B"/>
                <w:sz w:val="18"/>
              </w:rPr>
              <w:t>Captation des formulations pour combler un retard technologique.</w:t>
            </w:r>
          </w:p>
        </w:tc>
      </w:tr>
      <w:tr>
        <w:tc>
          <w:tcPr>
            <w:tcW w:type="dxa" w:w="1402"/>
            <w:tcBorders>
              <w:bottom w:val="single" w:sz="4" w:space="0" w:color="DFE7E3"/>
            </w:tcBorders>
          </w:tcPr>
          <w:p>
            <w:r>
              <w:rPr>
                <w:b w:val="0"/>
                <w:i w:val="0"/>
                <w:color w:val="33403B"/>
                <w:sz w:val="18"/>
              </w:rPr>
              <w:t>SR-03</w:t>
            </w:r>
          </w:p>
        </w:tc>
        <w:tc>
          <w:tcPr>
            <w:tcW w:type="dxa" w:w="4005"/>
            <w:tcBorders>
              <w:bottom w:val="single" w:sz="4" w:space="0" w:color="DFE7E3"/>
            </w:tcBorders>
          </w:tcPr>
          <w:p>
            <w:r>
              <w:rPr>
                <w:b w:val="0"/>
                <w:i w:val="0"/>
                <w:color w:val="33403B"/>
                <w:sz w:val="18"/>
              </w:rPr>
              <w:t>Salarié en partance vers un concurrent</w:t>
            </w:r>
          </w:p>
        </w:tc>
        <w:tc>
          <w:tcPr>
            <w:tcW w:type="dxa" w:w="4005"/>
            <w:tcBorders>
              <w:bottom w:val="single" w:sz="4" w:space="0" w:color="DFE7E3"/>
            </w:tcBorders>
          </w:tcPr>
          <w:p>
            <w:r>
              <w:rPr>
                <w:b w:val="0"/>
                <w:i w:val="0"/>
                <w:color w:val="33403B"/>
                <w:sz w:val="18"/>
              </w:rPr>
              <w:t>Emport de dossiers R&amp;D à des fins d'embauche.</w:t>
            </w:r>
          </w:p>
        </w:tc>
      </w:tr>
    </w:tbl>
    <w:p/>
    <w:p>
      <w:pPr>
        <w:spacing w:before="200" w:after="40"/>
      </w:pPr>
      <w:r>
        <w:rPr>
          <w:b/>
          <w:i w:val="0"/>
          <w:color w:val="0C2317"/>
          <w:sz w:val="21"/>
        </w:rPr>
        <w:t>5.3 Scénarios opérationnels</w:t>
      </w:r>
    </w:p>
    <w:tbl>
      <w:tblPr>
        <w:tblW w:type="auto" w:w="0"/>
        <w:jc w:val="left"/>
        <w:tblLayout w:type="fixed"/>
        <w:tblLook w:firstColumn="1" w:firstRow="1" w:lastColumn="0" w:lastRow="0" w:noHBand="0" w:noVBand="1" w:val="04A0"/>
      </w:tblPr>
      <w:tblGrid>
        <w:gridCol w:w="941"/>
        <w:gridCol w:w="3496"/>
        <w:gridCol w:w="740"/>
        <w:gridCol w:w="740"/>
        <w:gridCol w:w="3496"/>
      </w:tblGrid>
      <w:tr>
        <w:tc>
          <w:tcPr>
            <w:tcW w:type="dxa" w:w="941"/>
            <w:shd w:val="clear" w:color="auto" w:fill="F2FBF7"/>
            <w:tcBorders>
              <w:bottom w:val="single" w:sz="6" w:space="0" w:color="C9DBD3"/>
            </w:tcBorders>
          </w:tcPr>
          <w:p>
            <w:r>
              <w:rPr>
                <w:b/>
                <w:i w:val="0"/>
                <w:color w:val="0C2317"/>
                <w:sz w:val="16"/>
              </w:rPr>
              <w:t>ID</w:t>
            </w:r>
          </w:p>
        </w:tc>
        <w:tc>
          <w:tcPr>
            <w:tcW w:type="dxa" w:w="3496"/>
            <w:shd w:val="clear" w:color="auto" w:fill="F2FBF7"/>
            <w:tcBorders>
              <w:bottom w:val="single" w:sz="6" w:space="0" w:color="C9DBD3"/>
            </w:tcBorders>
          </w:tcPr>
          <w:p>
            <w:r>
              <w:rPr>
                <w:b/>
                <w:i w:val="0"/>
                <w:color w:val="0C2317"/>
                <w:sz w:val="16"/>
              </w:rPr>
              <w:t>Scénario opérationnel</w:t>
            </w:r>
          </w:p>
        </w:tc>
        <w:tc>
          <w:tcPr>
            <w:tcW w:type="dxa" w:w="740"/>
            <w:shd w:val="clear" w:color="auto" w:fill="F2FBF7"/>
            <w:tcBorders>
              <w:bottom w:val="single" w:sz="6" w:space="0" w:color="C9DBD3"/>
            </w:tcBorders>
          </w:tcPr>
          <w:p>
            <w:pPr>
              <w:jc w:val="right"/>
            </w:pPr>
            <w:r>
              <w:rPr>
                <w:b/>
                <w:i w:val="0"/>
                <w:color w:val="0C2317"/>
                <w:sz w:val="16"/>
              </w:rPr>
              <w:t>G</w:t>
            </w:r>
          </w:p>
        </w:tc>
        <w:tc>
          <w:tcPr>
            <w:tcW w:type="dxa" w:w="740"/>
            <w:shd w:val="clear" w:color="auto" w:fill="F2FBF7"/>
            <w:tcBorders>
              <w:bottom w:val="single" w:sz="6" w:space="0" w:color="C9DBD3"/>
            </w:tcBorders>
          </w:tcPr>
          <w:p>
            <w:pPr>
              <w:jc w:val="right"/>
            </w:pPr>
            <w:r>
              <w:rPr>
                <w:b/>
                <w:i w:val="0"/>
                <w:color w:val="0C2317"/>
                <w:sz w:val="16"/>
              </w:rPr>
              <w:t>V</w:t>
            </w:r>
          </w:p>
        </w:tc>
        <w:tc>
          <w:tcPr>
            <w:tcW w:type="dxa" w:w="3496"/>
            <w:shd w:val="clear" w:color="auto" w:fill="F2FBF7"/>
            <w:tcBorders>
              <w:bottom w:val="single" w:sz="6" w:space="0" w:color="C9DBD3"/>
            </w:tcBorders>
          </w:tcPr>
          <w:p>
            <w:r>
              <w:rPr>
                <w:b/>
                <w:i w:val="0"/>
                <w:color w:val="0C2317"/>
                <w:sz w:val="16"/>
              </w:rPr>
              <w:t>Mesure d'atténuation</w:t>
            </w:r>
          </w:p>
        </w:tc>
      </w:tr>
      <w:tr>
        <w:tc>
          <w:tcPr>
            <w:tcW w:type="dxa" w:w="941"/>
            <w:tcBorders>
              <w:bottom w:val="single" w:sz="4" w:space="0" w:color="DFE7E3"/>
            </w:tcBorders>
          </w:tcPr>
          <w:p>
            <w:r>
              <w:rPr>
                <w:b w:val="0"/>
                <w:i w:val="0"/>
                <w:color w:val="33403B"/>
                <w:sz w:val="18"/>
              </w:rPr>
              <w:t>SO-01</w:t>
            </w:r>
          </w:p>
        </w:tc>
        <w:tc>
          <w:tcPr>
            <w:tcW w:type="dxa" w:w="3496"/>
            <w:tcBorders>
              <w:bottom w:val="single" w:sz="4" w:space="0" w:color="DFE7E3"/>
            </w:tcBorders>
          </w:tcPr>
          <w:p>
            <w:r>
              <w:rPr>
                <w:b w:val="0"/>
                <w:i w:val="0"/>
                <w:color w:val="33403B"/>
                <w:sz w:val="18"/>
              </w:rPr>
              <w:t>Hameçonnage d'un poste bureautique (BS-04, sans EDR) → récupération d'identifiants → élévation de privilèges sur l'AD (BS-01) → propagation vers le MES (BS-03) faute de segmentation OT/IT → chiffrement, y compris des sauvegardes (BS-06) placées sur le même VLAN.</w:t>
            </w:r>
          </w:p>
        </w:tc>
        <w:tc>
          <w:tcPr>
            <w:tcW w:type="dxa" w:w="740"/>
            <w:tcBorders>
              <w:bottom w:val="single" w:sz="4" w:space="0" w:color="DFE7E3"/>
            </w:tcBorders>
          </w:tcPr>
          <w:p>
            <w:pPr>
              <w:jc w:val="right"/>
            </w:pPr>
            <w:r>
              <w:rPr>
                <w:b w:val="0"/>
                <w:i w:val="0"/>
                <w:color w:val="33403B"/>
                <w:sz w:val="18"/>
              </w:rPr>
              <w:t>4/4</w:t>
            </w:r>
          </w:p>
        </w:tc>
        <w:tc>
          <w:tcPr>
            <w:tcW w:type="dxa" w:w="740"/>
            <w:tcBorders>
              <w:bottom w:val="single" w:sz="4" w:space="0" w:color="DFE7E3"/>
            </w:tcBorders>
          </w:tcPr>
          <w:p>
            <w:pPr>
              <w:jc w:val="right"/>
            </w:pPr>
            <w:r>
              <w:rPr>
                <w:b w:val="0"/>
                <w:i w:val="0"/>
                <w:color w:val="33403B"/>
                <w:sz w:val="18"/>
              </w:rPr>
              <w:t>3/5</w:t>
            </w:r>
          </w:p>
        </w:tc>
        <w:tc>
          <w:tcPr>
            <w:tcW w:type="dxa" w:w="3496"/>
            <w:tcBorders>
              <w:bottom w:val="single" w:sz="4" w:space="0" w:color="DFE7E3"/>
            </w:tcBorders>
          </w:tcPr>
          <w:p>
            <w:r>
              <w:rPr>
                <w:b w:val="0"/>
                <w:i w:val="0"/>
                <w:color w:val="33403B"/>
                <w:sz w:val="18"/>
              </w:rPr>
              <w:t>Déploiement EDR, MFA généralisé, segmentation OT/IT, sauvegarde immuable hors site.</w:t>
            </w:r>
          </w:p>
        </w:tc>
      </w:tr>
      <w:tr>
        <w:tc>
          <w:tcPr>
            <w:tcW w:type="dxa" w:w="941"/>
            <w:tcBorders>
              <w:bottom w:val="single" w:sz="4" w:space="0" w:color="DFE7E3"/>
            </w:tcBorders>
          </w:tcPr>
          <w:p>
            <w:r>
              <w:rPr>
                <w:b w:val="0"/>
                <w:i w:val="0"/>
                <w:color w:val="33403B"/>
                <w:sz w:val="18"/>
              </w:rPr>
              <w:t>SO-02</w:t>
            </w:r>
          </w:p>
        </w:tc>
        <w:tc>
          <w:tcPr>
            <w:tcW w:type="dxa" w:w="3496"/>
            <w:tcBorders>
              <w:bottom w:val="single" w:sz="4" w:space="0" w:color="DFE7E3"/>
            </w:tcBorders>
          </w:tcPr>
          <w:p>
            <w:r>
              <w:rPr>
                <w:b w:val="0"/>
                <w:i w:val="0"/>
                <w:color w:val="33403B"/>
                <w:sz w:val="18"/>
              </w:rPr>
              <w:t>Compromission du compte VPN du prestataire de maintenance des fours → rebond vers le NAS R&amp;D (BS-02) dont le partage SMB est accessible sans cloisonnement → copie des formulations.</w:t>
            </w:r>
          </w:p>
        </w:tc>
        <w:tc>
          <w:tcPr>
            <w:tcW w:type="dxa" w:w="740"/>
            <w:tcBorders>
              <w:bottom w:val="single" w:sz="4" w:space="0" w:color="DFE7E3"/>
            </w:tcBorders>
          </w:tcPr>
          <w:p>
            <w:pPr>
              <w:jc w:val="right"/>
            </w:pPr>
            <w:r>
              <w:rPr>
                <w:b w:val="0"/>
                <w:i w:val="0"/>
                <w:color w:val="33403B"/>
                <w:sz w:val="18"/>
              </w:rPr>
              <w:t>4/4</w:t>
            </w:r>
          </w:p>
        </w:tc>
        <w:tc>
          <w:tcPr>
            <w:tcW w:type="dxa" w:w="740"/>
            <w:tcBorders>
              <w:bottom w:val="single" w:sz="4" w:space="0" w:color="DFE7E3"/>
            </w:tcBorders>
          </w:tcPr>
          <w:p>
            <w:pPr>
              <w:jc w:val="right"/>
            </w:pPr>
            <w:r>
              <w:rPr>
                <w:b w:val="0"/>
                <w:i w:val="0"/>
                <w:color w:val="33403B"/>
                <w:sz w:val="18"/>
              </w:rPr>
              <w:t>2/5</w:t>
            </w:r>
          </w:p>
        </w:tc>
        <w:tc>
          <w:tcPr>
            <w:tcW w:type="dxa" w:w="3496"/>
            <w:tcBorders>
              <w:bottom w:val="single" w:sz="4" w:space="0" w:color="DFE7E3"/>
            </w:tcBorders>
          </w:tcPr>
          <w:p>
            <w:r>
              <w:rPr>
                <w:b w:val="0"/>
                <w:i w:val="0"/>
                <w:color w:val="33403B"/>
                <w:sz w:val="18"/>
              </w:rPr>
              <w:t>VPN nominatif par prestataire, MFA obligatoire, restriction d'accès au NAS R&amp;D par groupe AD, journalisation des accès.</w:t>
            </w:r>
          </w:p>
        </w:tc>
      </w:tr>
      <w:tr>
        <w:tc>
          <w:tcPr>
            <w:tcW w:type="dxa" w:w="941"/>
            <w:tcBorders>
              <w:bottom w:val="single" w:sz="4" w:space="0" w:color="DFE7E3"/>
            </w:tcBorders>
          </w:tcPr>
          <w:p>
            <w:r>
              <w:rPr>
                <w:b w:val="0"/>
                <w:i w:val="0"/>
                <w:color w:val="33403B"/>
                <w:sz w:val="18"/>
              </w:rPr>
              <w:t>SO-03</w:t>
            </w:r>
          </w:p>
        </w:tc>
        <w:tc>
          <w:tcPr>
            <w:tcW w:type="dxa" w:w="3496"/>
            <w:tcBorders>
              <w:bottom w:val="single" w:sz="4" w:space="0" w:color="DFE7E3"/>
            </w:tcBorders>
          </w:tcPr>
          <w:p>
            <w:r>
              <w:rPr>
                <w:b w:val="0"/>
                <w:i w:val="0"/>
                <w:color w:val="33403B"/>
                <w:sz w:val="18"/>
              </w:rPr>
              <w:t>Salarié R&amp;D copiant les formulations sur un support amovible avant son départ, aucun contrôle des périphériques USB n'étant en place.</w:t>
            </w:r>
          </w:p>
        </w:tc>
        <w:tc>
          <w:tcPr>
            <w:tcW w:type="dxa" w:w="740"/>
            <w:tcBorders>
              <w:bottom w:val="single" w:sz="4" w:space="0" w:color="DFE7E3"/>
            </w:tcBorders>
          </w:tcPr>
          <w:p>
            <w:pPr>
              <w:jc w:val="right"/>
            </w:pPr>
            <w:r>
              <w:rPr>
                <w:b w:val="0"/>
                <w:i w:val="0"/>
                <w:color w:val="33403B"/>
                <w:sz w:val="18"/>
              </w:rPr>
              <w:t>3/4</w:t>
            </w:r>
          </w:p>
        </w:tc>
        <w:tc>
          <w:tcPr>
            <w:tcW w:type="dxa" w:w="740"/>
            <w:tcBorders>
              <w:bottom w:val="single" w:sz="4" w:space="0" w:color="DFE7E3"/>
            </w:tcBorders>
          </w:tcPr>
          <w:p>
            <w:pPr>
              <w:jc w:val="right"/>
            </w:pPr>
            <w:r>
              <w:rPr>
                <w:b w:val="0"/>
                <w:i w:val="0"/>
                <w:color w:val="33403B"/>
                <w:sz w:val="18"/>
              </w:rPr>
              <w:t>3/5</w:t>
            </w:r>
          </w:p>
        </w:tc>
        <w:tc>
          <w:tcPr>
            <w:tcW w:type="dxa" w:w="3496"/>
            <w:tcBorders>
              <w:bottom w:val="single" w:sz="4" w:space="0" w:color="DFE7E3"/>
            </w:tcBorders>
          </w:tcPr>
          <w:p>
            <w:r>
              <w:rPr>
                <w:b w:val="0"/>
                <w:i w:val="0"/>
                <w:color w:val="33403B"/>
                <w:sz w:val="18"/>
              </w:rPr>
              <w:t>Blocage USB par GPO sauf dérogation, journalisation des copies volumineuses, clause de confidentialité renforcée.</w:t>
            </w:r>
          </w:p>
        </w:tc>
      </w:tr>
      <w:tr>
        <w:tc>
          <w:tcPr>
            <w:tcW w:type="dxa" w:w="941"/>
            <w:tcBorders>
              <w:bottom w:val="single" w:sz="4" w:space="0" w:color="DFE7E3"/>
            </w:tcBorders>
          </w:tcPr>
          <w:p>
            <w:r>
              <w:rPr>
                <w:b w:val="0"/>
                <w:i w:val="0"/>
                <w:color w:val="33403B"/>
                <w:sz w:val="18"/>
              </w:rPr>
              <w:t>SO-04</w:t>
            </w:r>
          </w:p>
        </w:tc>
        <w:tc>
          <w:tcPr>
            <w:tcW w:type="dxa" w:w="3496"/>
            <w:tcBorders>
              <w:bottom w:val="single" w:sz="4" w:space="0" w:color="DFE7E3"/>
            </w:tcBorders>
          </w:tcPr>
          <w:p>
            <w:r>
              <w:rPr>
                <w:b w:val="0"/>
                <w:i w:val="0"/>
                <w:color w:val="33403B"/>
                <w:sz w:val="18"/>
              </w:rPr>
              <w:t>Accès illégitime au NVR de vidéoprotection depuis le VLAN bureautique, faute de segmentation.</w:t>
            </w:r>
          </w:p>
        </w:tc>
        <w:tc>
          <w:tcPr>
            <w:tcW w:type="dxa" w:w="740"/>
            <w:tcBorders>
              <w:bottom w:val="single" w:sz="4" w:space="0" w:color="DFE7E3"/>
            </w:tcBorders>
          </w:tcPr>
          <w:p>
            <w:pPr>
              <w:jc w:val="right"/>
            </w:pPr>
            <w:r>
              <w:rPr>
                <w:b w:val="0"/>
                <w:i w:val="0"/>
                <w:color w:val="33403B"/>
                <w:sz w:val="18"/>
              </w:rPr>
              <w:t>3/4</w:t>
            </w:r>
          </w:p>
        </w:tc>
        <w:tc>
          <w:tcPr>
            <w:tcW w:type="dxa" w:w="740"/>
            <w:tcBorders>
              <w:bottom w:val="single" w:sz="4" w:space="0" w:color="DFE7E3"/>
            </w:tcBorders>
          </w:tcPr>
          <w:p>
            <w:pPr>
              <w:jc w:val="right"/>
            </w:pPr>
            <w:r>
              <w:rPr>
                <w:b w:val="0"/>
                <w:i w:val="0"/>
                <w:color w:val="33403B"/>
                <w:sz w:val="18"/>
              </w:rPr>
              <w:t>2/5</w:t>
            </w:r>
          </w:p>
        </w:tc>
        <w:tc>
          <w:tcPr>
            <w:tcW w:type="dxa" w:w="3496"/>
            <w:tcBorders>
              <w:bottom w:val="single" w:sz="4" w:space="0" w:color="DFE7E3"/>
            </w:tcBorders>
          </w:tcPr>
          <w:p>
            <w:r>
              <w:rPr>
                <w:b w:val="0"/>
                <w:i w:val="0"/>
                <w:color w:val="33403B"/>
                <w:sz w:val="18"/>
              </w:rPr>
              <w:t>VLAN dédié au NVR, authentification nominative, journalisation des consultations.</w:t>
            </w:r>
          </w:p>
        </w:tc>
      </w:tr>
    </w:tbl>
    <w:p/>
    <w:p>
      <w:pPr>
        <w:spacing w:before="200" w:after="40"/>
      </w:pPr>
      <w:r>
        <w:rPr>
          <w:b/>
          <w:i w:val="0"/>
          <w:color w:val="0C2317"/>
          <w:sz w:val="21"/>
        </w:rPr>
        <w:t>5.3bis Traitement des risques (propriétaire, résiduel, décision)</w:t>
      </w:r>
    </w:p>
    <w:tbl>
      <w:tblPr>
        <w:tblW w:type="auto" w:w="0"/>
        <w:jc w:val="left"/>
        <w:tblLayout w:type="fixed"/>
        <w:tblLook w:firstColumn="1" w:firstRow="1" w:lastColumn="0" w:lastRow="0" w:noHBand="0" w:noVBand="1" w:val="04A0"/>
      </w:tblPr>
      <w:tblGrid>
        <w:gridCol w:w="1243"/>
        <w:gridCol w:w="2664"/>
        <w:gridCol w:w="1776"/>
        <w:gridCol w:w="1953"/>
        <w:gridCol w:w="1776"/>
      </w:tblGrid>
      <w:tr>
        <w:tc>
          <w:tcPr>
            <w:tcW w:type="dxa" w:w="1243"/>
            <w:shd w:val="clear" w:color="auto" w:fill="F2FBF7"/>
            <w:tcBorders>
              <w:bottom w:val="single" w:sz="6" w:space="0" w:color="C9DBD3"/>
            </w:tcBorders>
          </w:tcPr>
          <w:p>
            <w:r>
              <w:rPr>
                <w:b/>
                <w:i w:val="0"/>
                <w:color w:val="0C2317"/>
                <w:sz w:val="16"/>
              </w:rPr>
              <w:t>ID</w:t>
            </w:r>
          </w:p>
        </w:tc>
        <w:tc>
          <w:tcPr>
            <w:tcW w:type="dxa" w:w="2664"/>
            <w:shd w:val="clear" w:color="auto" w:fill="F2FBF7"/>
            <w:tcBorders>
              <w:bottom w:val="single" w:sz="6" w:space="0" w:color="C9DBD3"/>
            </w:tcBorders>
          </w:tcPr>
          <w:p>
            <w:r>
              <w:rPr>
                <w:b/>
                <w:i w:val="0"/>
                <w:color w:val="0C2317"/>
                <w:sz w:val="16"/>
              </w:rPr>
              <w:t>Propriétaire</w:t>
            </w:r>
          </w:p>
        </w:tc>
        <w:tc>
          <w:tcPr>
            <w:tcW w:type="dxa" w:w="1776"/>
            <w:shd w:val="clear" w:color="auto" w:fill="F2FBF7"/>
            <w:tcBorders>
              <w:bottom w:val="single" w:sz="6" w:space="0" w:color="C9DBD3"/>
            </w:tcBorders>
          </w:tcPr>
          <w:p>
            <w:r>
              <w:rPr>
                <w:b/>
                <w:i w:val="0"/>
                <w:color w:val="0C2317"/>
                <w:sz w:val="16"/>
              </w:rPr>
              <w:t>Résiduel (G/V)</w:t>
            </w:r>
          </w:p>
        </w:tc>
        <w:tc>
          <w:tcPr>
            <w:tcW w:type="dxa" w:w="1953"/>
            <w:shd w:val="clear" w:color="auto" w:fill="F2FBF7"/>
            <w:tcBorders>
              <w:bottom w:val="single" w:sz="6" w:space="0" w:color="C9DBD3"/>
            </w:tcBorders>
          </w:tcPr>
          <w:p>
            <w:r>
              <w:rPr>
                <w:b/>
                <w:i w:val="0"/>
                <w:color w:val="0C2317"/>
                <w:sz w:val="16"/>
              </w:rPr>
              <w:t>Stratégie</w:t>
            </w:r>
          </w:p>
        </w:tc>
        <w:tc>
          <w:tcPr>
            <w:tcW w:type="dxa" w:w="1776"/>
            <w:shd w:val="clear" w:color="auto" w:fill="F2FBF7"/>
            <w:tcBorders>
              <w:bottom w:val="single" w:sz="6" w:space="0" w:color="C9DBD3"/>
            </w:tcBorders>
          </w:tcPr>
          <w:p>
            <w:r>
              <w:rPr>
                <w:b/>
                <w:i w:val="0"/>
                <w:color w:val="0C2317"/>
                <w:sz w:val="16"/>
              </w:rPr>
              <w:t>Statut</w:t>
            </w:r>
          </w:p>
        </w:tc>
      </w:tr>
      <w:tr>
        <w:tc>
          <w:tcPr>
            <w:tcW w:type="dxa" w:w="1243"/>
            <w:tcBorders>
              <w:bottom w:val="single" w:sz="4" w:space="0" w:color="DFE7E3"/>
            </w:tcBorders>
          </w:tcPr>
          <w:p>
            <w:r>
              <w:rPr>
                <w:b w:val="0"/>
                <w:i w:val="0"/>
                <w:color w:val="33403B"/>
                <w:sz w:val="18"/>
              </w:rPr>
              <w:t>SO-01</w:t>
            </w:r>
          </w:p>
        </w:tc>
        <w:tc>
          <w:tcPr>
            <w:tcW w:type="dxa" w:w="2664"/>
            <w:tcBorders>
              <w:bottom w:val="single" w:sz="4" w:space="0" w:color="DFE7E3"/>
            </w:tcBorders>
          </w:tcPr>
          <w:p>
            <w:r>
              <w:rPr>
                <w:b w:val="0"/>
                <w:i w:val="0"/>
                <w:color w:val="33403B"/>
                <w:sz w:val="18"/>
              </w:rPr>
              <w:t>RSSI</w:t>
            </w:r>
          </w:p>
        </w:tc>
        <w:tc>
          <w:tcPr>
            <w:tcW w:type="dxa" w:w="1776"/>
            <w:tcBorders>
              <w:bottom w:val="single" w:sz="4" w:space="0" w:color="DFE7E3"/>
            </w:tcBorders>
          </w:tcPr>
          <w:p>
            <w:r>
              <w:rPr>
                <w:b w:val="0"/>
                <w:i w:val="0"/>
                <w:color w:val="33403B"/>
                <w:sz w:val="18"/>
              </w:rPr>
              <w:t>3/2</w:t>
            </w:r>
          </w:p>
        </w:tc>
        <w:tc>
          <w:tcPr>
            <w:tcW w:type="dxa" w:w="1953"/>
            <w:tcBorders>
              <w:bottom w:val="single" w:sz="4" w:space="0" w:color="DFE7E3"/>
            </w:tcBorders>
          </w:tcPr>
          <w:p>
            <w:r>
              <w:rPr>
                <w:b w:val="0"/>
                <w:i w:val="0"/>
                <w:color w:val="33403B"/>
                <w:sz w:val="18"/>
              </w:rPr>
              <w:t>Réduire</w:t>
            </w:r>
          </w:p>
        </w:tc>
        <w:tc>
          <w:tcPr>
            <w:tcW w:type="dxa" w:w="1776"/>
            <w:tcBorders>
              <w:bottom w:val="single" w:sz="4" w:space="0" w:color="DFE7E3"/>
            </w:tcBorders>
          </w:tcPr>
          <w:p>
            <w:r>
              <w:rPr>
                <w:b w:val="0"/>
                <w:i w:val="0"/>
                <w:color w:val="33403B"/>
                <w:sz w:val="18"/>
              </w:rPr>
              <w:t>En traitement</w:t>
            </w:r>
          </w:p>
        </w:tc>
      </w:tr>
      <w:tr>
        <w:tc>
          <w:tcPr>
            <w:tcW w:type="dxa" w:w="1243"/>
            <w:tcBorders>
              <w:bottom w:val="single" w:sz="4" w:space="0" w:color="DFE7E3"/>
            </w:tcBorders>
          </w:tcPr>
          <w:p>
            <w:r>
              <w:rPr>
                <w:b w:val="0"/>
                <w:i w:val="0"/>
                <w:color w:val="33403B"/>
                <w:sz w:val="18"/>
              </w:rPr>
              <w:t>SO-02</w:t>
            </w:r>
          </w:p>
        </w:tc>
        <w:tc>
          <w:tcPr>
            <w:tcW w:type="dxa" w:w="2664"/>
            <w:tcBorders>
              <w:bottom w:val="single" w:sz="4" w:space="0" w:color="DFE7E3"/>
            </w:tcBorders>
          </w:tcPr>
          <w:p>
            <w:r>
              <w:rPr>
                <w:b w:val="0"/>
                <w:i w:val="0"/>
                <w:color w:val="33403B"/>
                <w:sz w:val="18"/>
              </w:rPr>
              <w:t>DSI</w:t>
            </w:r>
          </w:p>
        </w:tc>
        <w:tc>
          <w:tcPr>
            <w:tcW w:type="dxa" w:w="1776"/>
            <w:tcBorders>
              <w:bottom w:val="single" w:sz="4" w:space="0" w:color="DFE7E3"/>
            </w:tcBorders>
          </w:tcPr>
          <w:p>
            <w:r>
              <w:rPr>
                <w:b w:val="0"/>
                <w:i w:val="0"/>
                <w:color w:val="33403B"/>
                <w:sz w:val="18"/>
              </w:rPr>
              <w:t>3/1</w:t>
            </w:r>
          </w:p>
        </w:tc>
        <w:tc>
          <w:tcPr>
            <w:tcW w:type="dxa" w:w="1953"/>
            <w:tcBorders>
              <w:bottom w:val="single" w:sz="4" w:space="0" w:color="DFE7E3"/>
            </w:tcBorders>
          </w:tcPr>
          <w:p>
            <w:r>
              <w:rPr>
                <w:b w:val="0"/>
                <w:i w:val="0"/>
                <w:color w:val="33403B"/>
                <w:sz w:val="18"/>
              </w:rPr>
              <w:t>Réduire</w:t>
            </w:r>
          </w:p>
        </w:tc>
        <w:tc>
          <w:tcPr>
            <w:tcW w:type="dxa" w:w="1776"/>
            <w:tcBorders>
              <w:bottom w:val="single" w:sz="4" w:space="0" w:color="DFE7E3"/>
            </w:tcBorders>
          </w:tcPr>
          <w:p>
            <w:r>
              <w:rPr>
                <w:b w:val="0"/>
                <w:i w:val="0"/>
                <w:color w:val="33403B"/>
                <w:sz w:val="18"/>
              </w:rPr>
              <w:t>Ouvert</w:t>
            </w:r>
          </w:p>
        </w:tc>
      </w:tr>
      <w:tr>
        <w:tc>
          <w:tcPr>
            <w:tcW w:type="dxa" w:w="1243"/>
            <w:tcBorders>
              <w:bottom w:val="single" w:sz="4" w:space="0" w:color="DFE7E3"/>
            </w:tcBorders>
          </w:tcPr>
          <w:p>
            <w:r>
              <w:rPr>
                <w:b w:val="0"/>
                <w:i w:val="0"/>
                <w:color w:val="33403B"/>
                <w:sz w:val="18"/>
              </w:rPr>
              <w:t>SO-03</w:t>
            </w:r>
          </w:p>
        </w:tc>
        <w:tc>
          <w:tcPr>
            <w:tcW w:type="dxa" w:w="2664"/>
            <w:tcBorders>
              <w:bottom w:val="single" w:sz="4" w:space="0" w:color="DFE7E3"/>
            </w:tcBorders>
          </w:tcPr>
          <w:p>
            <w:r>
              <w:rPr>
                <w:b w:val="0"/>
                <w:i w:val="0"/>
                <w:color w:val="33403B"/>
                <w:sz w:val="18"/>
              </w:rPr>
              <w:t>Direction R&amp;D</w:t>
            </w:r>
          </w:p>
        </w:tc>
        <w:tc>
          <w:tcPr>
            <w:tcW w:type="dxa" w:w="1776"/>
            <w:tcBorders>
              <w:bottom w:val="single" w:sz="4" w:space="0" w:color="DFE7E3"/>
            </w:tcBorders>
          </w:tcPr>
          <w:p>
            <w:r>
              <w:rPr>
                <w:b w:val="0"/>
                <w:i w:val="0"/>
                <w:color w:val="33403B"/>
                <w:sz w:val="18"/>
              </w:rPr>
              <w:t>4/2</w:t>
            </w:r>
          </w:p>
        </w:tc>
        <w:tc>
          <w:tcPr>
            <w:tcW w:type="dxa" w:w="1953"/>
            <w:tcBorders>
              <w:bottom w:val="single" w:sz="4" w:space="0" w:color="DFE7E3"/>
            </w:tcBorders>
          </w:tcPr>
          <w:p>
            <w:r>
              <w:rPr>
                <w:b w:val="0"/>
                <w:i w:val="0"/>
                <w:color w:val="33403B"/>
                <w:sz w:val="18"/>
              </w:rPr>
              <w:t>Réduire</w:t>
            </w:r>
          </w:p>
        </w:tc>
        <w:tc>
          <w:tcPr>
            <w:tcW w:type="dxa" w:w="1776"/>
            <w:tcBorders>
              <w:bottom w:val="single" w:sz="4" w:space="0" w:color="DFE7E3"/>
            </w:tcBorders>
          </w:tcPr>
          <w:p>
            <w:r>
              <w:rPr>
                <w:b w:val="0"/>
                <w:i w:val="0"/>
                <w:color w:val="33403B"/>
                <w:sz w:val="18"/>
              </w:rPr>
              <w:t>Ouvert</w:t>
            </w:r>
          </w:p>
        </w:tc>
      </w:tr>
      <w:tr>
        <w:tc>
          <w:tcPr>
            <w:tcW w:type="dxa" w:w="1243"/>
            <w:tcBorders>
              <w:bottom w:val="single" w:sz="4" w:space="0" w:color="DFE7E3"/>
            </w:tcBorders>
          </w:tcPr>
          <w:p>
            <w:r>
              <w:rPr>
                <w:b w:val="0"/>
                <w:i w:val="0"/>
                <w:color w:val="33403B"/>
                <w:sz w:val="18"/>
              </w:rPr>
              <w:t>SO-04</w:t>
            </w:r>
          </w:p>
        </w:tc>
        <w:tc>
          <w:tcPr>
            <w:tcW w:type="dxa" w:w="2664"/>
            <w:tcBorders>
              <w:bottom w:val="single" w:sz="4" w:space="0" w:color="DFE7E3"/>
            </w:tcBorders>
          </w:tcPr>
          <w:p>
            <w:r>
              <w:rPr>
                <w:b w:val="0"/>
                <w:i w:val="0"/>
                <w:color w:val="33403B"/>
                <w:sz w:val="18"/>
              </w:rPr>
              <w:t>Responsable Sûreté</w:t>
            </w:r>
          </w:p>
        </w:tc>
        <w:tc>
          <w:tcPr>
            <w:tcW w:type="dxa" w:w="1776"/>
            <w:tcBorders>
              <w:bottom w:val="single" w:sz="4" w:space="0" w:color="DFE7E3"/>
            </w:tcBorders>
          </w:tcPr>
          <w:p>
            <w:r>
              <w:rPr>
                <w:b w:val="0"/>
                <w:i w:val="0"/>
                <w:color w:val="33403B"/>
                <w:sz w:val="18"/>
              </w:rPr>
              <w:t>1/1</w:t>
            </w:r>
          </w:p>
        </w:tc>
        <w:tc>
          <w:tcPr>
            <w:tcW w:type="dxa" w:w="1953"/>
            <w:tcBorders>
              <w:bottom w:val="single" w:sz="4" w:space="0" w:color="DFE7E3"/>
            </w:tcBorders>
          </w:tcPr>
          <w:p>
            <w:r>
              <w:rPr>
                <w:b w:val="0"/>
                <w:i w:val="0"/>
                <w:color w:val="33403B"/>
                <w:sz w:val="18"/>
              </w:rPr>
              <w:t>Accepter</w:t>
            </w:r>
          </w:p>
        </w:tc>
        <w:tc>
          <w:tcPr>
            <w:tcW w:type="dxa" w:w="1776"/>
            <w:tcBorders>
              <w:bottom w:val="single" w:sz="4" w:space="0" w:color="DFE7E3"/>
            </w:tcBorders>
          </w:tcPr>
          <w:p>
            <w:r>
              <w:rPr>
                <w:b w:val="0"/>
                <w:i w:val="0"/>
                <w:color w:val="33403B"/>
                <w:sz w:val="18"/>
              </w:rPr>
              <w:t>Traité</w:t>
            </w:r>
          </w:p>
        </w:tc>
      </w:tr>
    </w:tbl>
    <w:p/>
    <w:p>
      <w:pPr>
        <w:spacing w:before="200" w:after="40"/>
      </w:pPr>
      <w:r>
        <w:rPr>
          <w:b/>
          <w:i w:val="0"/>
          <w:color w:val="0C2317"/>
          <w:sz w:val="21"/>
        </w:rPr>
        <w:t>5.4 Cas réels versés au dossier</w:t>
      </w:r>
    </w:p>
    <w:tbl>
      <w:tblPr>
        <w:tblW w:type="auto" w:w="0"/>
        <w:jc w:val="left"/>
        <w:tblLayout w:type="fixed"/>
        <w:tblLook w:firstColumn="1" w:firstRow="1" w:lastColumn="0" w:lastRow="0" w:noHBand="0" w:noVBand="1" w:val="04A0"/>
      </w:tblPr>
      <w:tblGrid>
        <w:gridCol w:w="3012"/>
        <w:gridCol w:w="6400"/>
      </w:tblGrid>
      <w:tr>
        <w:tc>
          <w:tcPr>
            <w:tcW w:type="dxa" w:w="3012"/>
            <w:shd w:val="clear" w:color="auto" w:fill="F2FBF7"/>
            <w:tcBorders>
              <w:bottom w:val="single" w:sz="6" w:space="0" w:color="C9DBD3"/>
            </w:tcBorders>
          </w:tcPr>
          <w:p>
            <w:r>
              <w:rPr>
                <w:b/>
                <w:i w:val="0"/>
                <w:color w:val="0C2317"/>
                <w:sz w:val="16"/>
              </w:rPr>
              <w:t>Cas réel</w:t>
            </w:r>
          </w:p>
        </w:tc>
        <w:tc>
          <w:tcPr>
            <w:tcW w:type="dxa" w:w="6400"/>
            <w:shd w:val="clear" w:color="auto" w:fill="F2FBF7"/>
            <w:tcBorders>
              <w:bottom w:val="single" w:sz="6" w:space="0" w:color="C9DBD3"/>
            </w:tcBorders>
          </w:tcPr>
          <w:p>
            <w:r>
              <w:rPr>
                <w:b/>
                <w:i w:val="0"/>
                <w:color w:val="0C2317"/>
                <w:sz w:val="16"/>
              </w:rPr>
              <w:t>Enseignement retenu pour ce client</w:t>
            </w:r>
          </w:p>
        </w:tc>
      </w:tr>
      <w:tr>
        <w:tc>
          <w:tcPr>
            <w:tcW w:type="dxa" w:w="3012"/>
            <w:tcBorders>
              <w:bottom w:val="single" w:sz="4" w:space="0" w:color="DFE7E3"/>
            </w:tcBorders>
          </w:tcPr>
          <w:p>
            <w:r>
              <w:rPr>
                <w:b w:val="0"/>
                <w:i w:val="0"/>
                <w:color w:val="33403B"/>
                <w:sz w:val="18"/>
              </w:rPr>
              <w:t>Norsk Hydro (2019) — rançongiciel LockerGoga</w:t>
            </w:r>
          </w:p>
        </w:tc>
        <w:tc>
          <w:tcPr>
            <w:tcW w:type="dxa" w:w="6400"/>
            <w:tcBorders>
              <w:bottom w:val="single" w:sz="4" w:space="0" w:color="DFE7E3"/>
            </w:tcBorders>
          </w:tcPr>
          <w:p>
            <w:r>
              <w:rPr>
                <w:b w:val="0"/>
                <w:i w:val="0"/>
                <w:color w:val="33403B"/>
                <w:sz w:val="18"/>
              </w:rPr>
              <w:t>Industriel comparable : la propagation IT vers OT a arrêté la production faute de segmentation. La transparence publique a limité l'atteinte réputationnelle.</w:t>
            </w:r>
          </w:p>
        </w:tc>
      </w:tr>
      <w:tr>
        <w:tc>
          <w:tcPr>
            <w:tcW w:type="dxa" w:w="3012"/>
            <w:tcBorders>
              <w:bottom w:val="single" w:sz="4" w:space="0" w:color="DFE7E3"/>
            </w:tcBorders>
          </w:tcPr>
          <w:p>
            <w:r>
              <w:rPr>
                <w:b w:val="0"/>
                <w:i w:val="0"/>
                <w:color w:val="33403B"/>
                <w:sz w:val="18"/>
              </w:rPr>
              <w:t>ASML / employé exfiltrant des données (2023)</w:t>
            </w:r>
          </w:p>
        </w:tc>
        <w:tc>
          <w:tcPr>
            <w:tcW w:type="dxa" w:w="6400"/>
            <w:tcBorders>
              <w:bottom w:val="single" w:sz="4" w:space="0" w:color="DFE7E3"/>
            </w:tcBorders>
          </w:tcPr>
          <w:p>
            <w:r>
              <w:rPr>
                <w:b w:val="0"/>
                <w:i w:val="0"/>
                <w:color w:val="33403B"/>
                <w:sz w:val="18"/>
              </w:rPr>
              <w:t>La menace interne sur la propriété intellectuelle industrielle est réelle et ne se traite pas par des mesures périmétriques.</w:t>
            </w:r>
          </w:p>
        </w:tc>
      </w:tr>
      <w:tr>
        <w:tc>
          <w:tcPr>
            <w:tcW w:type="dxa" w:w="3012"/>
            <w:tcBorders>
              <w:bottom w:val="single" w:sz="4" w:space="0" w:color="DFE7E3"/>
            </w:tcBorders>
          </w:tcPr>
          <w:p>
            <w:r>
              <w:rPr>
                <w:b w:val="0"/>
                <w:i w:val="0"/>
                <w:color w:val="33403B"/>
                <w:sz w:val="18"/>
              </w:rPr>
              <w:t>Fuite de données de santé — laboratoires français (2021)</w:t>
            </w:r>
          </w:p>
        </w:tc>
        <w:tc>
          <w:tcPr>
            <w:tcW w:type="dxa" w:w="6400"/>
            <w:tcBorders>
              <w:bottom w:val="single" w:sz="4" w:space="0" w:color="DFE7E3"/>
            </w:tcBorders>
          </w:tcPr>
          <w:p>
            <w:r>
              <w:rPr>
                <w:b w:val="0"/>
                <w:i w:val="0"/>
                <w:color w:val="33403B"/>
                <w:sz w:val="18"/>
              </w:rPr>
              <w:t>Les données de santé mal cloisonnées finissent en accès ouvert ; la sanction porte sur le défaut de mesures, pas sur l'attaque.</w:t>
            </w:r>
          </w:p>
        </w:tc>
      </w:tr>
    </w:tbl>
    <w:p/>
    <w:p>
      <w:pPr>
        <w:spacing w:before="400" w:after="160"/>
        <w:pBdr>
          <w:bottom w:val="single" w:sz="16" w:space="4" w:color="2EE6A0"/>
        </w:pBdr>
      </w:pPr>
      <w:r>
        <w:rPr>
          <w:b/>
          <w:i w:val="0"/>
          <w:color w:val="2EE6A0"/>
          <w:sz w:val="28"/>
        </w:rPr>
        <w:t xml:space="preserve">6. </w:t>
      </w:r>
      <w:r>
        <w:rPr>
          <w:b/>
          <w:i w:val="0"/>
          <w:color w:val="0C2317"/>
          <w:sz w:val="28"/>
        </w:rPr>
        <w:t>Écosystème et risques tiers</w:t>
      </w:r>
    </w:p>
    <w:p>
      <w:r>
        <w:rPr>
          <w:b w:val="0"/>
          <w:i w:val="0"/>
          <w:color w:val="6B7F78"/>
          <w:sz w:val="18"/>
        </w:rPr>
        <w:t>Criticité selon la formule ANSSI : (dépendance × pénétration) / (maturité × confiance).</w:t>
      </w:r>
    </w:p>
    <w:tbl>
      <w:tblPr>
        <w:tblW w:type="auto" w:w="0"/>
        <w:jc w:val="left"/>
        <w:tblLayout w:type="fixed"/>
        <w:tblLook w:firstColumn="1" w:firstRow="1" w:lastColumn="0" w:lastRow="0" w:noHBand="0" w:noVBand="1" w:val="04A0"/>
      </w:tblPr>
      <w:tblGrid>
        <w:gridCol w:w="3025"/>
        <w:gridCol w:w="1849"/>
        <w:gridCol w:w="1513"/>
        <w:gridCol w:w="3025"/>
      </w:tblGrid>
      <w:tr>
        <w:tc>
          <w:tcPr>
            <w:tcW w:type="dxa" w:w="3025"/>
            <w:shd w:val="clear" w:color="auto" w:fill="F2FBF7"/>
            <w:tcBorders>
              <w:bottom w:val="single" w:sz="6" w:space="0" w:color="C9DBD3"/>
            </w:tcBorders>
          </w:tcPr>
          <w:p>
            <w:r>
              <w:rPr>
                <w:b/>
                <w:i w:val="0"/>
                <w:color w:val="0C2317"/>
                <w:sz w:val="16"/>
              </w:rPr>
              <w:t>Tiers</w:t>
            </w:r>
          </w:p>
        </w:tc>
        <w:tc>
          <w:tcPr>
            <w:tcW w:type="dxa" w:w="1849"/>
            <w:shd w:val="clear" w:color="auto" w:fill="F2FBF7"/>
            <w:tcBorders>
              <w:bottom w:val="single" w:sz="6" w:space="0" w:color="C9DBD3"/>
            </w:tcBorders>
          </w:tcPr>
          <w:p>
            <w:r>
              <w:rPr>
                <w:b/>
                <w:i w:val="0"/>
                <w:color w:val="0C2317"/>
                <w:sz w:val="16"/>
              </w:rPr>
              <w:t>Criticité</w:t>
            </w:r>
          </w:p>
        </w:tc>
        <w:tc>
          <w:tcPr>
            <w:tcW w:type="dxa" w:w="1513"/>
            <w:shd w:val="clear" w:color="auto" w:fill="F2FBF7"/>
            <w:tcBorders>
              <w:bottom w:val="single" w:sz="6" w:space="0" w:color="C9DBD3"/>
            </w:tcBorders>
          </w:tcPr>
          <w:p>
            <w:pPr>
              <w:jc w:val="right"/>
            </w:pPr>
            <w:r>
              <w:rPr>
                <w:b/>
                <w:i w:val="0"/>
                <w:color w:val="0C2317"/>
                <w:sz w:val="16"/>
              </w:rPr>
              <w:t>Ratio</w:t>
            </w:r>
          </w:p>
        </w:tc>
        <w:tc>
          <w:tcPr>
            <w:tcW w:type="dxa" w:w="3025"/>
            <w:shd w:val="clear" w:color="auto" w:fill="F2FBF7"/>
            <w:tcBorders>
              <w:bottom w:val="single" w:sz="6" w:space="0" w:color="C9DBD3"/>
            </w:tcBorders>
          </w:tcPr>
          <w:p>
            <w:pPr>
              <w:jc w:val="right"/>
            </w:pPr>
            <w:r>
              <w:rPr>
                <w:b/>
                <w:i w:val="0"/>
                <w:color w:val="0C2317"/>
                <w:sz w:val="16"/>
              </w:rPr>
              <w:t>Dép. / Pén. / Mat. / Conf.</w:t>
            </w:r>
          </w:p>
        </w:tc>
      </w:tr>
      <w:tr>
        <w:tc>
          <w:tcPr>
            <w:tcW w:type="dxa" w:w="3025"/>
            <w:tcBorders>
              <w:bottom w:val="single" w:sz="4" w:space="0" w:color="DFE7E3"/>
            </w:tcBorders>
          </w:tcPr>
          <w:p>
            <w:r>
              <w:rPr>
                <w:b w:val="0"/>
                <w:i w:val="0"/>
                <w:color w:val="33403B"/>
                <w:sz w:val="18"/>
              </w:rPr>
              <w:t>Prestataire maintenance automates (accès VPN permanent)</w:t>
            </w:r>
          </w:p>
        </w:tc>
        <w:tc>
          <w:tcPr>
            <w:tcW w:type="dxa" w:w="1849"/>
            <w:tcBorders>
              <w:bottom w:val="single" w:sz="4" w:space="0" w:color="DFE7E3"/>
            </w:tcBorders>
            <w:shd w:val="clear" w:color="auto" w:fill="FDEAED"/>
          </w:tcPr>
          <w:p>
            <w:r>
              <w:rPr>
                <w:b/>
                <w:i w:val="0"/>
                <w:color w:val="A3243C"/>
                <w:sz w:val="17"/>
              </w:rPr>
              <w:t>Critique</w:t>
            </w:r>
          </w:p>
        </w:tc>
        <w:tc>
          <w:tcPr>
            <w:tcW w:type="dxa" w:w="1513"/>
            <w:tcBorders>
              <w:bottom w:val="single" w:sz="4" w:space="0" w:color="DFE7E3"/>
            </w:tcBorders>
          </w:tcPr>
          <w:p>
            <w:pPr>
              <w:jc w:val="right"/>
            </w:pPr>
            <w:r>
              <w:rPr>
                <w:b w:val="0"/>
                <w:i w:val="0"/>
                <w:color w:val="33403B"/>
                <w:sz w:val="18"/>
              </w:rPr>
              <w:t>4.17</w:t>
            </w:r>
          </w:p>
        </w:tc>
        <w:tc>
          <w:tcPr>
            <w:tcW w:type="dxa" w:w="3025"/>
            <w:tcBorders>
              <w:bottom w:val="single" w:sz="4" w:space="0" w:color="DFE7E3"/>
            </w:tcBorders>
          </w:tcPr>
          <w:p>
            <w:pPr>
              <w:jc w:val="right"/>
            </w:pPr>
            <w:r>
              <w:rPr>
                <w:b w:val="0"/>
                <w:i w:val="0"/>
                <w:color w:val="33403B"/>
                <w:sz w:val="18"/>
              </w:rPr>
              <w:t>5 / 5 / 2 / 3</w:t>
            </w:r>
          </w:p>
        </w:tc>
      </w:tr>
      <w:tr>
        <w:tc>
          <w:tcPr>
            <w:tcW w:type="dxa" w:w="3025"/>
            <w:tcBorders>
              <w:bottom w:val="single" w:sz="4" w:space="0" w:color="DFE7E3"/>
            </w:tcBorders>
          </w:tcPr>
          <w:p>
            <w:r>
              <w:rPr>
                <w:b w:val="0"/>
                <w:i w:val="0"/>
                <w:color w:val="33403B"/>
                <w:sz w:val="18"/>
              </w:rPr>
              <w:t>Infogéreur poste de travail</w:t>
            </w:r>
          </w:p>
        </w:tc>
        <w:tc>
          <w:tcPr>
            <w:tcW w:type="dxa" w:w="1849"/>
            <w:tcBorders>
              <w:bottom w:val="single" w:sz="4" w:space="0" w:color="DFE7E3"/>
            </w:tcBorders>
            <w:shd w:val="clear" w:color="auto" w:fill="E8F4FD"/>
          </w:tcPr>
          <w:p>
            <w:r>
              <w:rPr>
                <w:b/>
                <w:i w:val="0"/>
                <w:color w:val="1D5F88"/>
                <w:sz w:val="17"/>
              </w:rPr>
              <w:t>Moyen</w:t>
            </w:r>
          </w:p>
        </w:tc>
        <w:tc>
          <w:tcPr>
            <w:tcW w:type="dxa" w:w="1513"/>
            <w:tcBorders>
              <w:bottom w:val="single" w:sz="4" w:space="0" w:color="DFE7E3"/>
            </w:tcBorders>
          </w:tcPr>
          <w:p>
            <w:pPr>
              <w:jc w:val="right"/>
            </w:pPr>
            <w:r>
              <w:rPr>
                <w:b w:val="0"/>
                <w:i w:val="0"/>
                <w:color w:val="33403B"/>
                <w:sz w:val="18"/>
              </w:rPr>
              <w:t>1.33</w:t>
            </w:r>
          </w:p>
        </w:tc>
        <w:tc>
          <w:tcPr>
            <w:tcW w:type="dxa" w:w="3025"/>
            <w:tcBorders>
              <w:bottom w:val="single" w:sz="4" w:space="0" w:color="DFE7E3"/>
            </w:tcBorders>
          </w:tcPr>
          <w:p>
            <w:pPr>
              <w:jc w:val="right"/>
            </w:pPr>
            <w:r>
              <w:rPr>
                <w:b w:val="0"/>
                <w:i w:val="0"/>
                <w:color w:val="33403B"/>
                <w:sz w:val="18"/>
              </w:rPr>
              <w:t>4 / 4 / 3 / 4</w:t>
            </w:r>
          </w:p>
        </w:tc>
      </w:tr>
      <w:tr>
        <w:tc>
          <w:tcPr>
            <w:tcW w:type="dxa" w:w="3025"/>
            <w:tcBorders>
              <w:bottom w:val="single" w:sz="4" w:space="0" w:color="DFE7E3"/>
            </w:tcBorders>
          </w:tcPr>
          <w:p>
            <w:r>
              <w:rPr>
                <w:b w:val="0"/>
                <w:i w:val="0"/>
                <w:color w:val="33403B"/>
                <w:sz w:val="18"/>
              </w:rPr>
              <w:t>Hébergeur Microsoft 365</w:t>
            </w:r>
          </w:p>
        </w:tc>
        <w:tc>
          <w:tcPr>
            <w:tcW w:type="dxa" w:w="1849"/>
            <w:tcBorders>
              <w:bottom w:val="single" w:sz="4" w:space="0" w:color="DFE7E3"/>
            </w:tcBorders>
            <w:shd w:val="clear" w:color="auto" w:fill="EEF2F1"/>
          </w:tcPr>
          <w:p>
            <w:r>
              <w:rPr>
                <w:b/>
                <w:i w:val="0"/>
                <w:color w:val="62726D"/>
                <w:sz w:val="17"/>
              </w:rPr>
              <w:t>Faible</w:t>
            </w:r>
          </w:p>
        </w:tc>
        <w:tc>
          <w:tcPr>
            <w:tcW w:type="dxa" w:w="1513"/>
            <w:tcBorders>
              <w:bottom w:val="single" w:sz="4" w:space="0" w:color="DFE7E3"/>
            </w:tcBorders>
          </w:tcPr>
          <w:p>
            <w:pPr>
              <w:jc w:val="right"/>
            </w:pPr>
            <w:r>
              <w:rPr>
                <w:b w:val="0"/>
                <w:i w:val="0"/>
                <w:color w:val="33403B"/>
                <w:sz w:val="18"/>
              </w:rPr>
              <w:t>0.8</w:t>
            </w:r>
          </w:p>
        </w:tc>
        <w:tc>
          <w:tcPr>
            <w:tcW w:type="dxa" w:w="3025"/>
            <w:tcBorders>
              <w:bottom w:val="single" w:sz="4" w:space="0" w:color="DFE7E3"/>
            </w:tcBorders>
          </w:tcPr>
          <w:p>
            <w:pPr>
              <w:jc w:val="right"/>
            </w:pPr>
            <w:r>
              <w:rPr>
                <w:b w:val="0"/>
                <w:i w:val="0"/>
                <w:color w:val="33403B"/>
                <w:sz w:val="18"/>
              </w:rPr>
              <w:t>5 / 4 / 5 / 5</w:t>
            </w:r>
          </w:p>
        </w:tc>
      </w:tr>
      <w:tr>
        <w:tc>
          <w:tcPr>
            <w:tcW w:type="dxa" w:w="3025"/>
            <w:tcBorders>
              <w:bottom w:val="single" w:sz="4" w:space="0" w:color="DFE7E3"/>
            </w:tcBorders>
          </w:tcPr>
          <w:p>
            <w:r>
              <w:rPr>
                <w:b w:val="0"/>
                <w:i w:val="0"/>
                <w:color w:val="33403B"/>
                <w:sz w:val="18"/>
              </w:rPr>
              <w:t>Fournisseur de résines (portail EDI)</w:t>
            </w:r>
          </w:p>
        </w:tc>
        <w:tc>
          <w:tcPr>
            <w:tcW w:type="dxa" w:w="1849"/>
            <w:tcBorders>
              <w:bottom w:val="single" w:sz="4" w:space="0" w:color="DFE7E3"/>
            </w:tcBorders>
            <w:shd w:val="clear" w:color="auto" w:fill="EEF2F1"/>
          </w:tcPr>
          <w:p>
            <w:r>
              <w:rPr>
                <w:b/>
                <w:i w:val="0"/>
                <w:color w:val="62726D"/>
                <w:sz w:val="17"/>
              </w:rPr>
              <w:t>Faible</w:t>
            </w:r>
          </w:p>
        </w:tc>
        <w:tc>
          <w:tcPr>
            <w:tcW w:type="dxa" w:w="1513"/>
            <w:tcBorders>
              <w:bottom w:val="single" w:sz="4" w:space="0" w:color="DFE7E3"/>
            </w:tcBorders>
          </w:tcPr>
          <w:p>
            <w:pPr>
              <w:jc w:val="right"/>
            </w:pPr>
            <w:r>
              <w:rPr>
                <w:b w:val="0"/>
                <w:i w:val="0"/>
                <w:color w:val="33403B"/>
                <w:sz w:val="18"/>
              </w:rPr>
              <w:t>0.67</w:t>
            </w:r>
          </w:p>
        </w:tc>
        <w:tc>
          <w:tcPr>
            <w:tcW w:type="dxa" w:w="3025"/>
            <w:tcBorders>
              <w:bottom w:val="single" w:sz="4" w:space="0" w:color="DFE7E3"/>
            </w:tcBorders>
          </w:tcPr>
          <w:p>
            <w:pPr>
              <w:jc w:val="right"/>
            </w:pPr>
            <w:r>
              <w:rPr>
                <w:b w:val="0"/>
                <w:i w:val="0"/>
                <w:color w:val="33403B"/>
                <w:sz w:val="18"/>
              </w:rPr>
              <w:t>3 / 2 / 3 / 3</w:t>
            </w:r>
          </w:p>
        </w:tc>
      </w:tr>
      <w:tr>
        <w:tc>
          <w:tcPr>
            <w:tcW w:type="dxa" w:w="3025"/>
            <w:tcBorders>
              <w:bottom w:val="single" w:sz="4" w:space="0" w:color="DFE7E3"/>
            </w:tcBorders>
          </w:tcPr>
          <w:p>
            <w:r>
              <w:rPr>
                <w:b w:val="0"/>
                <w:i w:val="0"/>
                <w:color w:val="33403B"/>
                <w:sz w:val="18"/>
              </w:rPr>
              <w:t>Cabinet d'expertise comptable</w:t>
            </w:r>
          </w:p>
        </w:tc>
        <w:tc>
          <w:tcPr>
            <w:tcW w:type="dxa" w:w="1849"/>
            <w:tcBorders>
              <w:bottom w:val="single" w:sz="4" w:space="0" w:color="DFE7E3"/>
            </w:tcBorders>
            <w:shd w:val="clear" w:color="auto" w:fill="EEF2F1"/>
          </w:tcPr>
          <w:p>
            <w:r>
              <w:rPr>
                <w:b/>
                <w:i w:val="0"/>
                <w:color w:val="62726D"/>
                <w:sz w:val="17"/>
              </w:rPr>
              <w:t>Faible</w:t>
            </w:r>
          </w:p>
        </w:tc>
        <w:tc>
          <w:tcPr>
            <w:tcW w:type="dxa" w:w="1513"/>
            <w:tcBorders>
              <w:bottom w:val="single" w:sz="4" w:space="0" w:color="DFE7E3"/>
            </w:tcBorders>
          </w:tcPr>
          <w:p>
            <w:pPr>
              <w:jc w:val="right"/>
            </w:pPr>
            <w:r>
              <w:rPr>
                <w:b w:val="0"/>
                <w:i w:val="0"/>
                <w:color w:val="33403B"/>
                <w:sz w:val="18"/>
              </w:rPr>
              <w:t>0.17</w:t>
            </w:r>
          </w:p>
        </w:tc>
        <w:tc>
          <w:tcPr>
            <w:tcW w:type="dxa" w:w="3025"/>
            <w:tcBorders>
              <w:bottom w:val="single" w:sz="4" w:space="0" w:color="DFE7E3"/>
            </w:tcBorders>
          </w:tcPr>
          <w:p>
            <w:pPr>
              <w:jc w:val="right"/>
            </w:pPr>
            <w:r>
              <w:rPr>
                <w:b w:val="0"/>
                <w:i w:val="0"/>
                <w:color w:val="33403B"/>
                <w:sz w:val="18"/>
              </w:rPr>
              <w:t>2 / 1 / 3 / 4</w:t>
            </w:r>
          </w:p>
        </w:tc>
      </w:tr>
    </w:tbl>
    <w:p/>
    <w:p>
      <w:pPr>
        <w:spacing w:before="400" w:after="160"/>
        <w:pBdr>
          <w:bottom w:val="single" w:sz="16" w:space="4" w:color="2EE6A0"/>
        </w:pBdr>
      </w:pPr>
      <w:r>
        <w:rPr>
          <w:b/>
          <w:i w:val="0"/>
          <w:color w:val="2EE6A0"/>
          <w:sz w:val="28"/>
        </w:rPr>
        <w:t xml:space="preserve">7. </w:t>
      </w:r>
      <w:r>
        <w:rPr>
          <w:b/>
          <w:i w:val="0"/>
          <w:color w:val="0C2317"/>
          <w:sz w:val="28"/>
        </w:rPr>
        <w:t>Résilience et continuité</w:t>
      </w:r>
    </w:p>
    <w:p>
      <w:pPr>
        <w:spacing w:before="200" w:after="40"/>
      </w:pPr>
      <w:r>
        <w:rPr>
          <w:b/>
          <w:i w:val="0"/>
          <w:color w:val="0C2317"/>
          <w:sz w:val="21"/>
        </w:rPr>
        <w:t>7.1 Cibles de continuité</w:t>
      </w:r>
    </w:p>
    <w:tbl>
      <w:tblPr>
        <w:tblW w:type="auto" w:w="0"/>
        <w:jc w:val="left"/>
        <w:tblLayout w:type="fixed"/>
        <w:tblLook w:firstColumn="1" w:firstRow="1" w:lastColumn="0" w:lastRow="0" w:noHBand="0" w:noVBand="1" w:val="04A0"/>
      </w:tblPr>
      <w:tblGrid>
        <w:gridCol w:w="4706"/>
        <w:gridCol w:w="4706"/>
      </w:tblGrid>
      <w:tr>
        <w:tc>
          <w:tcPr>
            <w:tcW w:type="dxa" w:w="4706"/>
            <w:shd w:val="clear" w:color="auto" w:fill="F2FBF7"/>
            <w:tcBorders>
              <w:bottom w:val="single" w:sz="6" w:space="0" w:color="C9DBD3"/>
            </w:tcBorders>
          </w:tcPr>
          <w:p>
            <w:r>
              <w:rPr>
                <w:b/>
                <w:i w:val="0"/>
                <w:color w:val="0C2317"/>
                <w:sz w:val="16"/>
              </w:rPr>
              <w:t>Cible de continuité</w:t>
            </w:r>
          </w:p>
        </w:tc>
        <w:tc>
          <w:tcPr>
            <w:tcW w:type="dxa" w:w="4706"/>
            <w:shd w:val="clear" w:color="auto" w:fill="F2FBF7"/>
            <w:tcBorders>
              <w:bottom w:val="single" w:sz="6" w:space="0" w:color="C9DBD3"/>
            </w:tcBorders>
          </w:tcPr>
          <w:p>
            <w:r>
              <w:rPr>
                <w:b/>
                <w:i w:val="0"/>
                <w:color w:val="0C2317"/>
                <w:sz w:val="16"/>
              </w:rPr>
              <w:t>Valeur retenue</w:t>
            </w:r>
          </w:p>
        </w:tc>
      </w:tr>
      <w:tr>
        <w:tc>
          <w:tcPr>
            <w:tcW w:type="dxa" w:w="4706"/>
            <w:tcBorders>
              <w:bottom w:val="single" w:sz="4" w:space="0" w:color="DFE7E3"/>
            </w:tcBorders>
          </w:tcPr>
          <w:p>
            <w:r>
              <w:rPr>
                <w:b w:val="0"/>
                <w:i w:val="0"/>
                <w:color w:val="33403B"/>
                <w:sz w:val="18"/>
              </w:rPr>
              <w:t>RTO — durée maximale d'interruption admissible</w:t>
            </w:r>
          </w:p>
        </w:tc>
        <w:tc>
          <w:tcPr>
            <w:tcW w:type="dxa" w:w="4706"/>
            <w:tcBorders>
              <w:bottom w:val="single" w:sz="4" w:space="0" w:color="DFE7E3"/>
            </w:tcBorders>
          </w:tcPr>
          <w:p>
            <w:r>
              <w:rPr>
                <w:b w:val="0"/>
                <w:i w:val="0"/>
                <w:color w:val="33403B"/>
                <w:sz w:val="18"/>
              </w:rPr>
              <w:t>24 heures pour la ligne de production, 72 heures pour la bureautique</w:t>
            </w:r>
          </w:p>
        </w:tc>
      </w:tr>
      <w:tr>
        <w:tc>
          <w:tcPr>
            <w:tcW w:type="dxa" w:w="4706"/>
            <w:tcBorders>
              <w:bottom w:val="single" w:sz="4" w:space="0" w:color="DFE7E3"/>
            </w:tcBorders>
          </w:tcPr>
          <w:p>
            <w:r>
              <w:rPr>
                <w:b w:val="0"/>
                <w:i w:val="0"/>
                <w:color w:val="33403B"/>
                <w:sz w:val="18"/>
              </w:rPr>
              <w:t>RPO — perte de données maximale admissible</w:t>
            </w:r>
          </w:p>
        </w:tc>
        <w:tc>
          <w:tcPr>
            <w:tcW w:type="dxa" w:w="4706"/>
            <w:tcBorders>
              <w:bottom w:val="single" w:sz="4" w:space="0" w:color="DFE7E3"/>
            </w:tcBorders>
          </w:tcPr>
          <w:p>
            <w:r>
              <w:rPr>
                <w:b w:val="0"/>
                <w:i w:val="0"/>
                <w:color w:val="33403B"/>
                <w:sz w:val="18"/>
              </w:rPr>
              <w:t>4 heures pour le MES, 24 heures pour les serveurs de fichiers</w:t>
            </w:r>
          </w:p>
        </w:tc>
      </w:tr>
      <w:tr>
        <w:tc>
          <w:tcPr>
            <w:tcW w:type="dxa" w:w="4706"/>
            <w:tcBorders>
              <w:bottom w:val="single" w:sz="4" w:space="0" w:color="DFE7E3"/>
            </w:tcBorders>
          </w:tcPr>
          <w:p>
            <w:r>
              <w:rPr>
                <w:b w:val="0"/>
                <w:i w:val="0"/>
                <w:color w:val="33403B"/>
                <w:sz w:val="18"/>
              </w:rPr>
              <w:t>Politique de sauvegarde</w:t>
            </w:r>
          </w:p>
        </w:tc>
        <w:tc>
          <w:tcPr>
            <w:tcW w:type="dxa" w:w="4706"/>
            <w:tcBorders>
              <w:bottom w:val="single" w:sz="4" w:space="0" w:color="DFE7E3"/>
            </w:tcBorders>
          </w:tcPr>
          <w:p>
            <w:r>
              <w:rPr>
                <w:b w:val="0"/>
                <w:i w:val="0"/>
                <w:color w:val="33403B"/>
                <w:sz w:val="18"/>
              </w:rPr>
              <w:t>Objectif cible : règle 3-2-1 avec une copie immuable hors site et un test de restauration semestriel documenté. État constaté : sauvegarde quotidienne unique sur NAS secondaire du même VLAN, jamais restaurée en test.</w:t>
            </w:r>
          </w:p>
        </w:tc>
      </w:tr>
    </w:tbl>
    <w:p/>
    <w:p>
      <w:pPr>
        <w:spacing w:before="200" w:after="40"/>
      </w:pPr>
      <w:r>
        <w:rPr>
          <w:b/>
          <w:i w:val="0"/>
          <w:color w:val="0C2317"/>
          <w:sz w:val="21"/>
        </w:rPr>
        <w:t>7.2 Séquence de remédiation E3R (ANSSI)</w:t>
      </w:r>
    </w:p>
    <w:tbl>
      <w:tblPr>
        <w:tblW w:type="auto" w:w="0"/>
        <w:jc w:val="left"/>
        <w:tblLayout w:type="fixed"/>
        <w:tblLook w:firstColumn="1" w:firstRow="1" w:lastColumn="0" w:lastRow="0" w:noHBand="0" w:noVBand="1" w:val="04A0"/>
      </w:tblPr>
      <w:tblGrid>
        <w:gridCol w:w="2928"/>
        <w:gridCol w:w="6484"/>
      </w:tblGrid>
      <w:tr>
        <w:tc>
          <w:tcPr>
            <w:tcW w:type="dxa" w:w="2928"/>
            <w:shd w:val="clear" w:color="auto" w:fill="F2FBF7"/>
            <w:tcBorders>
              <w:bottom w:val="single" w:sz="6" w:space="0" w:color="C9DBD3"/>
            </w:tcBorders>
          </w:tcPr>
          <w:p>
            <w:r>
              <w:rPr>
                <w:b/>
                <w:i w:val="0"/>
                <w:color w:val="0C2317"/>
                <w:sz w:val="16"/>
              </w:rPr>
              <w:t>Étape E3R</w:t>
            </w:r>
          </w:p>
        </w:tc>
        <w:tc>
          <w:tcPr>
            <w:tcW w:type="dxa" w:w="6484"/>
            <w:shd w:val="clear" w:color="auto" w:fill="F2FBF7"/>
            <w:tcBorders>
              <w:bottom w:val="single" w:sz="6" w:space="0" w:color="C9DBD3"/>
            </w:tcBorders>
          </w:tcPr>
          <w:p>
            <w:r>
              <w:rPr>
                <w:b/>
                <w:i w:val="0"/>
                <w:color w:val="0C2317"/>
                <w:sz w:val="16"/>
              </w:rPr>
              <w:t>Procédure retenue</w:t>
            </w:r>
          </w:p>
        </w:tc>
      </w:tr>
      <w:tr>
        <w:tc>
          <w:tcPr>
            <w:tcW w:type="dxa" w:w="2928"/>
            <w:tcBorders>
              <w:bottom w:val="single" w:sz="4" w:space="0" w:color="DFE7E3"/>
            </w:tcBorders>
          </w:tcPr>
          <w:p>
            <w:r>
              <w:rPr>
                <w:b w:val="0"/>
                <w:i w:val="0"/>
                <w:color w:val="33403B"/>
                <w:sz w:val="18"/>
              </w:rPr>
              <w:t>Endiguement</w:t>
            </w:r>
          </w:p>
        </w:tc>
        <w:tc>
          <w:tcPr>
            <w:tcW w:type="dxa" w:w="6484"/>
            <w:tcBorders>
              <w:bottom w:val="single" w:sz="4" w:space="0" w:color="DFE7E3"/>
            </w:tcBorders>
          </w:tcPr>
          <w:p>
            <w:r>
              <w:rPr>
                <w:b w:val="0"/>
                <w:i w:val="0"/>
                <w:color w:val="33403B"/>
                <w:sz w:val="18"/>
              </w:rPr>
              <w:t>Isolement immédiat du VLAN production par coupure des liens inter-VLAN sur le cœur de réseau, arrêt contrôlé des fours selon la procédure de sécurité matière, déconnexion du VPN prestataires.</w:t>
            </w:r>
          </w:p>
        </w:tc>
      </w:tr>
      <w:tr>
        <w:tc>
          <w:tcPr>
            <w:tcW w:type="dxa" w:w="2928"/>
            <w:tcBorders>
              <w:bottom w:val="single" w:sz="4" w:space="0" w:color="DFE7E3"/>
            </w:tcBorders>
          </w:tcPr>
          <w:p>
            <w:r>
              <w:rPr>
                <w:b w:val="0"/>
                <w:i w:val="0"/>
                <w:color w:val="33403B"/>
                <w:sz w:val="18"/>
              </w:rPr>
              <w:t>Éviction</w:t>
            </w:r>
          </w:p>
        </w:tc>
        <w:tc>
          <w:tcPr>
            <w:tcW w:type="dxa" w:w="6484"/>
            <w:tcBorders>
              <w:bottom w:val="single" w:sz="4" w:space="0" w:color="DFE7E3"/>
            </w:tcBorders>
          </w:tcPr>
          <w:p>
            <w:r>
              <w:rPr>
                <w:b w:val="0"/>
                <w:i w:val="0"/>
                <w:color w:val="33403B"/>
                <w:sz w:val="18"/>
              </w:rPr>
              <w:t>Réinitialisation du compte krbtgt à deux reprises, révocation de tous les accès prestataires, réinitialisation des mots de passe des 12 comptes à privilèges, blocage des règles de transfert de messagerie créées durant l'incident.</w:t>
            </w:r>
          </w:p>
        </w:tc>
      </w:tr>
      <w:tr>
        <w:tc>
          <w:tcPr>
            <w:tcW w:type="dxa" w:w="2928"/>
            <w:tcBorders>
              <w:bottom w:val="single" w:sz="4" w:space="0" w:color="DFE7E3"/>
            </w:tcBorders>
          </w:tcPr>
          <w:p>
            <w:r>
              <w:rPr>
                <w:b w:val="0"/>
                <w:i w:val="0"/>
                <w:color w:val="33403B"/>
                <w:sz w:val="18"/>
              </w:rPr>
              <w:t>Éradication</w:t>
            </w:r>
          </w:p>
        </w:tc>
        <w:tc>
          <w:tcPr>
            <w:tcW w:type="dxa" w:w="6484"/>
            <w:tcBorders>
              <w:bottom w:val="single" w:sz="4" w:space="0" w:color="DFE7E3"/>
            </w:tcBorders>
          </w:tcPr>
          <w:p>
            <w:r>
              <w:rPr>
                <w:b w:val="0"/>
                <w:i w:val="0"/>
                <w:color w:val="33403B"/>
                <w:sz w:val="18"/>
              </w:rPr>
              <w:t>Analyse hors ligne des deux contrôleurs de domaine, reconstruction plutôt que nettoyage en cas de doute, recherche des tâches planifiées et services persistants sur l'ensemble du parc, suppression des comptes dormants.</w:t>
            </w:r>
          </w:p>
        </w:tc>
      </w:tr>
      <w:tr>
        <w:tc>
          <w:tcPr>
            <w:tcW w:type="dxa" w:w="2928"/>
            <w:tcBorders>
              <w:bottom w:val="single" w:sz="4" w:space="0" w:color="DFE7E3"/>
            </w:tcBorders>
          </w:tcPr>
          <w:p>
            <w:r>
              <w:rPr>
                <w:b w:val="0"/>
                <w:i w:val="0"/>
                <w:color w:val="33403B"/>
                <w:sz w:val="18"/>
              </w:rPr>
              <w:t>Reconstruction</w:t>
            </w:r>
          </w:p>
        </w:tc>
        <w:tc>
          <w:tcPr>
            <w:tcW w:type="dxa" w:w="6484"/>
            <w:tcBorders>
              <w:bottom w:val="single" w:sz="4" w:space="0" w:color="DFE7E3"/>
            </w:tcBorders>
          </w:tcPr>
          <w:p>
            <w:r>
              <w:rPr>
                <w:b w:val="0"/>
                <w:i w:val="0"/>
                <w:color w:val="33403B"/>
                <w:sz w:val="18"/>
              </w:rPr>
              <w:t>Remontée de l'AD depuis une sauvegarde antérieure à la compromission, reconstruction des postes depuis un master durci, remise en service par vagues avec surveillance renforcée pendant 30 jours, retour d'expérience formalisé sous 15 jours.</w:t>
            </w:r>
          </w:p>
        </w:tc>
      </w:tr>
    </w:tbl>
    <w:p/>
    <w:p>
      <w:pPr>
        <w:spacing w:before="200" w:after="40"/>
      </w:pPr>
      <w:r>
        <w:rPr>
          <w:b/>
          <w:i w:val="0"/>
          <w:color w:val="0C2317"/>
          <w:sz w:val="21"/>
        </w:rPr>
        <w:t>7.3 Volet stratégique — arbitrage Direction</w:t>
      </w:r>
    </w:p>
    <w:p>
      <w:r>
        <w:rPr>
          <w:b w:val="0"/>
          <w:i/>
          <w:color w:val="6B7F78"/>
          <w:sz w:val="18"/>
        </w:rPr>
        <w:t>Le volet stratégique (arbitrage Direction) n'a pas été documenté.</w:t>
      </w:r>
    </w:p>
    <w:p>
      <w:pPr>
        <w:spacing w:before="400" w:after="160"/>
        <w:pBdr>
          <w:bottom w:val="single" w:sz="16" w:space="4" w:color="2EE6A0"/>
        </w:pBdr>
      </w:pPr>
      <w:r>
        <w:rPr>
          <w:b/>
          <w:i w:val="0"/>
          <w:color w:val="2EE6A0"/>
          <w:sz w:val="28"/>
        </w:rPr>
        <w:t xml:space="preserve">8. </w:t>
      </w:r>
      <w:r>
        <w:rPr>
          <w:b/>
          <w:i w:val="0"/>
          <w:color w:val="0C2317"/>
          <w:sz w:val="28"/>
        </w:rPr>
        <w:t>Évaluation organisationnelle</w:t>
      </w:r>
    </w:p>
    <w:p>
      <w:r>
        <w:rPr>
          <w:b w:val="0"/>
          <w:i/>
          <w:color w:val="6B7F78"/>
          <w:sz w:val="18"/>
        </w:rPr>
        <w:t>Aucune check-list de conformité n'est rattachée à cette mission : l'évaluation organisationnelle relève ici de l'analyse de risque du chapitre 5.</w:t>
      </w:r>
    </w:p>
    <w:p>
      <w:pPr>
        <w:spacing w:before="400" w:after="160"/>
        <w:pBdr>
          <w:bottom w:val="single" w:sz="16" w:space="4" w:color="2EE6A0"/>
        </w:pBdr>
      </w:pPr>
      <w:r>
        <w:rPr>
          <w:b/>
          <w:i w:val="0"/>
          <w:color w:val="2EE6A0"/>
          <w:sz w:val="28"/>
        </w:rPr>
        <w:t xml:space="preserve">9. </w:t>
      </w:r>
      <w:r>
        <w:rPr>
          <w:b/>
          <w:i w:val="0"/>
          <w:color w:val="0C2317"/>
          <w:sz w:val="28"/>
        </w:rPr>
        <w:t>Évaluation technique des configurations</w:t>
      </w:r>
    </w:p>
    <w:tbl>
      <w:tblPr>
        <w:tblW w:type="auto" w:w="0"/>
        <w:tblLayout w:type="fixed"/>
        <w:tblLook w:firstColumn="1" w:firstRow="1" w:lastColumn="0" w:lastRow="0" w:noHBand="0" w:noVBand="1" w:val="04A0"/>
      </w:tblPr>
      <w:tblGrid>
        <w:gridCol w:w="9412"/>
      </w:tblGrid>
      <w:tr>
        <w:tc>
          <w:tcPr>
            <w:tcW w:type="dxa" w:w="9412"/>
            <w:shd w:val="clear" w:color="auto" w:fill="F2FBF7"/>
          </w:tcPr>
          <w:p>
            <w:r>
              <w:rPr>
                <w:b w:val="0"/>
                <w:i w:val="0"/>
                <w:color w:val="0C2317"/>
                <w:sz w:val="19"/>
              </w:rPr>
              <w:t>Aucun scan technique n'a été exécuté : à ce stade, l'ensemble des constats repose sur du déclaratif.</w:t>
            </w:r>
          </w:p>
        </w:tc>
      </w:tr>
    </w:tbl>
    <w:p/>
    <w:p>
      <w:r>
        <w:rPr>
          <w:b w:val="0"/>
          <w:i/>
          <w:color w:val="6B7F78"/>
          <w:sz w:val="18"/>
        </w:rPr>
        <w:t>Aucun scan technique de configuration n'a été exécuté pour cette mission.</w:t>
      </w:r>
    </w:p>
    <w:p>
      <w:pPr>
        <w:spacing w:before="400" w:after="160"/>
        <w:pBdr>
          <w:bottom w:val="single" w:sz="16" w:space="4" w:color="2EE6A0"/>
        </w:pBdr>
      </w:pPr>
      <w:r>
        <w:rPr>
          <w:b/>
          <w:i w:val="0"/>
          <w:color w:val="2EE6A0"/>
          <w:sz w:val="28"/>
        </w:rPr>
        <w:t xml:space="preserve">10. </w:t>
      </w:r>
      <w:r>
        <w:rPr>
          <w:b/>
          <w:i w:val="0"/>
          <w:color w:val="0C2317"/>
          <w:sz w:val="28"/>
        </w:rPr>
        <w:t>Rattachement aux référentiels (CIS v8 / NIST CSF 2.0)</w:t>
      </w:r>
    </w:p>
    <w:tbl>
      <w:tblPr>
        <w:tblW w:type="auto" w:w="0"/>
        <w:jc w:val="left"/>
        <w:tblLayout w:type="fixed"/>
        <w:tblLook w:firstColumn="1" w:firstRow="1" w:lastColumn="0" w:lastRow="0" w:noHBand="0" w:noVBand="1" w:val="04A0"/>
      </w:tblPr>
      <w:tblGrid>
        <w:gridCol w:w="2606"/>
        <w:gridCol w:w="2317"/>
        <w:gridCol w:w="1448"/>
        <w:gridCol w:w="3041"/>
      </w:tblGrid>
      <w:tr>
        <w:tc>
          <w:tcPr>
            <w:tcW w:type="dxa" w:w="2606"/>
            <w:shd w:val="clear" w:color="auto" w:fill="F2FBF7"/>
            <w:tcBorders>
              <w:bottom w:val="single" w:sz="6" w:space="0" w:color="C9DBD3"/>
            </w:tcBorders>
          </w:tcPr>
          <w:p>
            <w:r>
              <w:rPr>
                <w:b/>
                <w:i w:val="0"/>
                <w:color w:val="0C2317"/>
                <w:sz w:val="16"/>
              </w:rPr>
              <w:t>Pratique</w:t>
            </w:r>
          </w:p>
        </w:tc>
        <w:tc>
          <w:tcPr>
            <w:tcW w:type="dxa" w:w="2317"/>
            <w:shd w:val="clear" w:color="auto" w:fill="F2FBF7"/>
            <w:tcBorders>
              <w:bottom w:val="single" w:sz="6" w:space="0" w:color="C9DBD3"/>
            </w:tcBorders>
          </w:tcPr>
          <w:p>
            <w:r>
              <w:rPr>
                <w:b/>
                <w:i w:val="0"/>
                <w:color w:val="0C2317"/>
                <w:sz w:val="16"/>
              </w:rPr>
              <w:t>Contrôles rattachés</w:t>
            </w:r>
          </w:p>
        </w:tc>
        <w:tc>
          <w:tcPr>
            <w:tcW w:type="dxa" w:w="1448"/>
            <w:shd w:val="clear" w:color="auto" w:fill="F2FBF7"/>
            <w:tcBorders>
              <w:bottom w:val="single" w:sz="6" w:space="0" w:color="C9DBD3"/>
            </w:tcBorders>
          </w:tcPr>
          <w:p>
            <w:r>
              <w:rPr>
                <w:b/>
                <w:i w:val="0"/>
                <w:color w:val="0C2317"/>
                <w:sz w:val="16"/>
              </w:rPr>
              <w:t>État</w:t>
            </w:r>
          </w:p>
        </w:tc>
        <w:tc>
          <w:tcPr>
            <w:tcW w:type="dxa" w:w="3041"/>
            <w:shd w:val="clear" w:color="auto" w:fill="F2FBF7"/>
            <w:tcBorders>
              <w:bottom w:val="single" w:sz="6" w:space="0" w:color="C9DBD3"/>
            </w:tcBorders>
          </w:tcPr>
          <w:p>
            <w:r>
              <w:rPr>
                <w:b/>
                <w:i w:val="0"/>
                <w:color w:val="0C2317"/>
                <w:sz w:val="16"/>
              </w:rPr>
              <w:t>Constaté en</w:t>
            </w:r>
          </w:p>
        </w:tc>
      </w:tr>
      <w:tr>
        <w:tc>
          <w:tcPr>
            <w:tcW w:type="dxa" w:w="2606"/>
            <w:tcBorders>
              <w:bottom w:val="single" w:sz="4" w:space="0" w:color="DFE7E3"/>
            </w:tcBorders>
          </w:tcPr>
          <w:p>
            <w:r>
              <w:rPr>
                <w:b w:val="0"/>
                <w:i w:val="0"/>
                <w:color w:val="33403B"/>
                <w:sz w:val="18"/>
              </w:rPr>
              <w:t>Inventaire des biens supports tenu sur tout le cycle de vie</w:t>
            </w:r>
          </w:p>
        </w:tc>
        <w:tc>
          <w:tcPr>
            <w:tcW w:type="dxa" w:w="2317"/>
            <w:tcBorders>
              <w:bottom w:val="single" w:sz="4" w:space="0" w:color="DFE7E3"/>
            </w:tcBorders>
          </w:tcPr>
          <w:p>
            <w:r>
              <w:rPr>
                <w:b w:val="0"/>
                <w:i w:val="0"/>
                <w:color w:val="33403B"/>
                <w:sz w:val="18"/>
              </w:rPr>
              <w:t>NIST CSF 2.0 ID.AM, CIS v8 CIS 1, CIS v8 CIS 2</w:t>
            </w:r>
          </w:p>
        </w:tc>
        <w:tc>
          <w:tcPr>
            <w:tcW w:type="dxa" w:w="1448"/>
            <w:tcBorders>
              <w:bottom w:val="single" w:sz="4" w:space="0" w:color="DFE7E3"/>
            </w:tcBorders>
          </w:tcPr>
          <w:p>
            <w:r>
              <w:rPr>
                <w:b w:val="0"/>
                <w:i w:val="0"/>
                <w:color w:val="33403B"/>
                <w:sz w:val="18"/>
              </w:rPr>
              <w:t>Couverte</w:t>
            </w:r>
          </w:p>
        </w:tc>
        <w:tc>
          <w:tcPr>
            <w:tcW w:type="dxa" w:w="3041"/>
            <w:tcBorders>
              <w:bottom w:val="single" w:sz="4" w:space="0" w:color="DFE7E3"/>
            </w:tcBorders>
          </w:tcPr>
          <w:p>
            <w:r>
              <w:rPr>
                <w:b w:val="0"/>
                <w:i w:val="0"/>
                <w:color w:val="33403B"/>
                <w:sz w:val="18"/>
              </w:rPr>
              <w:t>6 bien(s) support inventorié(s) en phase 1. (phase 1)</w:t>
            </w:r>
          </w:p>
        </w:tc>
      </w:tr>
      <w:tr>
        <w:tc>
          <w:tcPr>
            <w:tcW w:type="dxa" w:w="2606"/>
            <w:tcBorders>
              <w:bottom w:val="single" w:sz="4" w:space="0" w:color="DFE7E3"/>
            </w:tcBorders>
          </w:tcPr>
          <w:p>
            <w:r>
              <w:rPr>
                <w:b w:val="0"/>
                <w:i w:val="0"/>
                <w:color w:val="33403B"/>
                <w:sz w:val="18"/>
              </w:rPr>
              <w:t>Gestion continue des vulnérabilités</w:t>
            </w:r>
          </w:p>
        </w:tc>
        <w:tc>
          <w:tcPr>
            <w:tcW w:type="dxa" w:w="2317"/>
            <w:tcBorders>
              <w:bottom w:val="single" w:sz="4" w:space="0" w:color="DFE7E3"/>
            </w:tcBorders>
          </w:tcPr>
          <w:p>
            <w:r>
              <w:rPr>
                <w:b w:val="0"/>
                <w:i w:val="0"/>
                <w:color w:val="33403B"/>
                <w:sz w:val="18"/>
              </w:rPr>
              <w:t>CIS v8 CIS 7, NIST CSF 2.0 ID.RA-01</w:t>
            </w:r>
          </w:p>
        </w:tc>
        <w:tc>
          <w:tcPr>
            <w:tcW w:type="dxa" w:w="1448"/>
            <w:tcBorders>
              <w:bottom w:val="single" w:sz="4" w:space="0" w:color="DFE7E3"/>
            </w:tcBorders>
          </w:tcPr>
          <w:p>
            <w:r>
              <w:rPr>
                <w:b w:val="0"/>
                <w:i w:val="0"/>
                <w:color w:val="33403B"/>
                <w:sz w:val="18"/>
              </w:rPr>
              <w:t>Non couverte</w:t>
            </w:r>
          </w:p>
        </w:tc>
        <w:tc>
          <w:tcPr>
            <w:tcW w:type="dxa" w:w="3041"/>
            <w:tcBorders>
              <w:bottom w:val="single" w:sz="4" w:space="0" w:color="DFE7E3"/>
            </w:tcBorders>
          </w:tcPr>
          <w:p>
            <w:r>
              <w:rPr>
                <w:b w:val="0"/>
                <w:i w:val="0"/>
                <w:color w:val="33403B"/>
                <w:sz w:val="18"/>
              </w:rPr>
              <w:t>Non déclaré en phase 2. (phase 2)</w:t>
            </w:r>
          </w:p>
        </w:tc>
      </w:tr>
      <w:tr>
        <w:tc>
          <w:tcPr>
            <w:tcW w:type="dxa" w:w="2606"/>
            <w:tcBorders>
              <w:bottom w:val="single" w:sz="4" w:space="0" w:color="DFE7E3"/>
            </w:tcBorders>
          </w:tcPr>
          <w:p>
            <w:r>
              <w:rPr>
                <w:b w:val="0"/>
                <w:i w:val="0"/>
                <w:color w:val="33403B"/>
                <w:sz w:val="18"/>
              </w:rPr>
              <w:t>Journalisation collectée, conservée et exploitable</w:t>
            </w:r>
          </w:p>
        </w:tc>
        <w:tc>
          <w:tcPr>
            <w:tcW w:type="dxa" w:w="2317"/>
            <w:tcBorders>
              <w:bottom w:val="single" w:sz="4" w:space="0" w:color="DFE7E3"/>
            </w:tcBorders>
          </w:tcPr>
          <w:p>
            <w:r>
              <w:rPr>
                <w:b w:val="0"/>
                <w:i w:val="0"/>
                <w:color w:val="33403B"/>
                <w:sz w:val="18"/>
              </w:rPr>
              <w:t>CIS v8 CIS 8</w:t>
            </w:r>
          </w:p>
        </w:tc>
        <w:tc>
          <w:tcPr>
            <w:tcW w:type="dxa" w:w="1448"/>
            <w:tcBorders>
              <w:bottom w:val="single" w:sz="4" w:space="0" w:color="DFE7E3"/>
            </w:tcBorders>
          </w:tcPr>
          <w:p>
            <w:r>
              <w:rPr>
                <w:b w:val="0"/>
                <w:i w:val="0"/>
                <w:color w:val="33403B"/>
                <w:sz w:val="18"/>
              </w:rPr>
              <w:t>Non couverte</w:t>
            </w:r>
          </w:p>
        </w:tc>
        <w:tc>
          <w:tcPr>
            <w:tcW w:type="dxa" w:w="3041"/>
            <w:tcBorders>
              <w:bottom w:val="single" w:sz="4" w:space="0" w:color="DFE7E3"/>
            </w:tcBorders>
          </w:tcPr>
          <w:p>
            <w:r>
              <w:rPr>
                <w:b w:val="0"/>
                <w:i w:val="0"/>
                <w:color w:val="33403B"/>
                <w:sz w:val="18"/>
              </w:rPr>
              <w:t>Non déclarée en phase 5. (phase 5)</w:t>
            </w:r>
          </w:p>
        </w:tc>
      </w:tr>
      <w:tr>
        <w:tc>
          <w:tcPr>
            <w:tcW w:type="dxa" w:w="2606"/>
            <w:tcBorders>
              <w:bottom w:val="single" w:sz="4" w:space="0" w:color="DFE7E3"/>
            </w:tcBorders>
          </w:tcPr>
          <w:p>
            <w:r>
              <w:rPr>
                <w:b w:val="0"/>
                <w:i w:val="0"/>
                <w:color w:val="33403B"/>
                <w:sz w:val="18"/>
              </w:rPr>
              <w:t>Fournisseurs évalués avant acquisition</w:t>
            </w:r>
          </w:p>
        </w:tc>
        <w:tc>
          <w:tcPr>
            <w:tcW w:type="dxa" w:w="2317"/>
            <w:tcBorders>
              <w:bottom w:val="single" w:sz="4" w:space="0" w:color="DFE7E3"/>
            </w:tcBorders>
          </w:tcPr>
          <w:p>
            <w:r>
              <w:rPr>
                <w:b w:val="0"/>
                <w:i w:val="0"/>
                <w:color w:val="33403B"/>
                <w:sz w:val="18"/>
              </w:rPr>
              <w:t>NIST CSF 2.0 ID.RA-10</w:t>
            </w:r>
          </w:p>
        </w:tc>
        <w:tc>
          <w:tcPr>
            <w:tcW w:type="dxa" w:w="1448"/>
            <w:tcBorders>
              <w:bottom w:val="single" w:sz="4" w:space="0" w:color="DFE7E3"/>
            </w:tcBorders>
          </w:tcPr>
          <w:p>
            <w:r>
              <w:rPr>
                <w:b w:val="0"/>
                <w:i w:val="0"/>
                <w:color w:val="33403B"/>
                <w:sz w:val="18"/>
              </w:rPr>
              <w:t>Non couverte</w:t>
            </w:r>
          </w:p>
        </w:tc>
        <w:tc>
          <w:tcPr>
            <w:tcW w:type="dxa" w:w="3041"/>
            <w:tcBorders>
              <w:bottom w:val="single" w:sz="4" w:space="0" w:color="DFE7E3"/>
            </w:tcBorders>
          </w:tcPr>
          <w:p>
            <w:r>
              <w:rPr>
                <w:b w:val="0"/>
                <w:i w:val="0"/>
                <w:color w:val="33403B"/>
                <w:sz w:val="18"/>
              </w:rPr>
              <w:t>Non tracé : exigence propre au volet GRC. (phase 3)</w:t>
            </w:r>
          </w:p>
        </w:tc>
      </w:tr>
    </w:tbl>
    <w:p/>
    <w:p>
      <w:r>
        <w:rPr>
          <w:b w:val="0"/>
          <w:i w:val="0"/>
          <w:color w:val="6B7F78"/>
          <w:sz w:val="18"/>
        </w:rPr>
        <w:t>1 pratique(s) couverte(s) sur 4 — 25 %.</w:t>
      </w:r>
    </w:p>
    <w:p>
      <w:pPr>
        <w:spacing w:before="400" w:after="160"/>
        <w:pBdr>
          <w:bottom w:val="single" w:sz="16" w:space="4" w:color="2EE6A0"/>
        </w:pBdr>
      </w:pPr>
      <w:r>
        <w:rPr>
          <w:b/>
          <w:i w:val="0"/>
          <w:color w:val="2EE6A0"/>
          <w:sz w:val="28"/>
        </w:rPr>
        <w:t xml:space="preserve">11. </w:t>
      </w:r>
      <w:r>
        <w:rPr>
          <w:b/>
          <w:i w:val="0"/>
          <w:color w:val="0C2317"/>
          <w:sz w:val="28"/>
        </w:rPr>
        <w:t>Plan de traitement</w:t>
      </w:r>
    </w:p>
    <w:p>
      <w:pPr>
        <w:spacing w:before="200" w:after="40"/>
      </w:pPr>
      <w:r>
        <w:rPr>
          <w:b/>
          <w:i w:val="0"/>
          <w:color w:val="0C2317"/>
          <w:sz w:val="21"/>
        </w:rPr>
        <w:t>11.1 Mesures priorisées</w:t>
      </w:r>
    </w:p>
    <w:tbl>
      <w:tblPr>
        <w:tblW w:type="auto" w:w="0"/>
        <w:jc w:val="left"/>
        <w:tblLayout w:type="fixed"/>
        <w:tblLook w:firstColumn="1" w:firstRow="1" w:lastColumn="0" w:lastRow="0" w:noHBand="0" w:noVBand="1" w:val="04A0"/>
      </w:tblPr>
      <w:tblGrid>
        <w:gridCol w:w="1198"/>
        <w:gridCol w:w="1711"/>
        <w:gridCol w:w="1882"/>
        <w:gridCol w:w="4620"/>
      </w:tblGrid>
      <w:tr>
        <w:tc>
          <w:tcPr>
            <w:tcW w:type="dxa" w:w="1198"/>
            <w:shd w:val="clear" w:color="auto" w:fill="F2FBF7"/>
            <w:tcBorders>
              <w:bottom w:val="single" w:sz="6" w:space="0" w:color="C9DBD3"/>
            </w:tcBorders>
          </w:tcPr>
          <w:p>
            <w:r>
              <w:rPr>
                <w:b/>
                <w:i w:val="0"/>
                <w:color w:val="0C2317"/>
                <w:sz w:val="16"/>
              </w:rPr>
              <w:t>ID</w:t>
            </w:r>
          </w:p>
        </w:tc>
        <w:tc>
          <w:tcPr>
            <w:tcW w:type="dxa" w:w="1711"/>
            <w:shd w:val="clear" w:color="auto" w:fill="F2FBF7"/>
            <w:tcBorders>
              <w:bottom w:val="single" w:sz="6" w:space="0" w:color="C9DBD3"/>
            </w:tcBorders>
          </w:tcPr>
          <w:p>
            <w:r>
              <w:rPr>
                <w:b/>
                <w:i w:val="0"/>
                <w:color w:val="0C2317"/>
                <w:sz w:val="16"/>
              </w:rPr>
              <w:t>Priorité</w:t>
            </w:r>
          </w:p>
        </w:tc>
        <w:tc>
          <w:tcPr>
            <w:tcW w:type="dxa" w:w="1882"/>
            <w:shd w:val="clear" w:color="auto" w:fill="F2FBF7"/>
            <w:tcBorders>
              <w:bottom w:val="single" w:sz="6" w:space="0" w:color="C9DBD3"/>
            </w:tcBorders>
          </w:tcPr>
          <w:p>
            <w:r>
              <w:rPr>
                <w:b/>
                <w:i w:val="0"/>
                <w:color w:val="0C2317"/>
                <w:sz w:val="16"/>
              </w:rPr>
              <w:t>Axe</w:t>
            </w:r>
          </w:p>
        </w:tc>
        <w:tc>
          <w:tcPr>
            <w:tcW w:type="dxa" w:w="4620"/>
            <w:shd w:val="clear" w:color="auto" w:fill="F2FBF7"/>
            <w:tcBorders>
              <w:bottom w:val="single" w:sz="6" w:space="0" w:color="C9DBD3"/>
            </w:tcBorders>
          </w:tcPr>
          <w:p>
            <w:r>
              <w:rPr>
                <w:b/>
                <w:i w:val="0"/>
                <w:color w:val="0C2317"/>
                <w:sz w:val="16"/>
              </w:rPr>
              <w:t>Mesure de traitement</w:t>
            </w:r>
          </w:p>
        </w:tc>
      </w:tr>
      <w:tr>
        <w:tc>
          <w:tcPr>
            <w:tcW w:type="dxa" w:w="1198"/>
            <w:tcBorders>
              <w:bottom w:val="single" w:sz="4" w:space="0" w:color="DFE7E3"/>
            </w:tcBorders>
          </w:tcPr>
          <w:p>
            <w:r>
              <w:rPr>
                <w:b w:val="0"/>
                <w:i w:val="0"/>
                <w:color w:val="33403B"/>
                <w:sz w:val="18"/>
              </w:rPr>
              <w:t>REM-01</w:t>
            </w:r>
          </w:p>
        </w:tc>
        <w:tc>
          <w:tcPr>
            <w:tcW w:type="dxa" w:w="1711"/>
            <w:tcBorders>
              <w:bottom w:val="single" w:sz="4" w:space="0" w:color="DFE7E3"/>
            </w:tcBorders>
            <w:shd w:val="clear" w:color="auto" w:fill="FDEAED"/>
          </w:tcPr>
          <w:p>
            <w:r>
              <w:rPr>
                <w:b/>
                <w:i w:val="0"/>
                <w:color w:val="A3243C"/>
                <w:sz w:val="17"/>
              </w:rPr>
              <w:t>Critique</w:t>
            </w:r>
          </w:p>
        </w:tc>
        <w:tc>
          <w:tcPr>
            <w:tcW w:type="dxa" w:w="1882"/>
            <w:tcBorders>
              <w:bottom w:val="single" w:sz="4" w:space="0" w:color="DFE7E3"/>
            </w:tcBorders>
          </w:tcPr>
          <w:p>
            <w:r>
              <w:rPr>
                <w:b w:val="0"/>
                <w:i w:val="0"/>
                <w:color w:val="33403B"/>
                <w:sz w:val="18"/>
              </w:rPr>
              <w:t>Protection</w:t>
            </w:r>
          </w:p>
        </w:tc>
        <w:tc>
          <w:tcPr>
            <w:tcW w:type="dxa" w:w="4620"/>
            <w:tcBorders>
              <w:bottom w:val="single" w:sz="4" w:space="0" w:color="DFE7E3"/>
            </w:tcBorders>
          </w:tcPr>
          <w:p>
            <w:r>
              <w:rPr>
                <w:b w:val="0"/>
                <w:i w:val="0"/>
                <w:color w:val="33403B"/>
                <w:sz w:val="18"/>
              </w:rPr>
              <w:t>Segmenter le réseau OT du réseau bureautique (pare-feu industriel, flux autorisés en liste blanche) — traite SO-01 et SO-02.</w:t>
            </w:r>
          </w:p>
        </w:tc>
      </w:tr>
      <w:tr>
        <w:tc>
          <w:tcPr>
            <w:tcW w:type="dxa" w:w="1198"/>
            <w:tcBorders>
              <w:bottom w:val="single" w:sz="4" w:space="0" w:color="DFE7E3"/>
            </w:tcBorders>
          </w:tcPr>
          <w:p>
            <w:r>
              <w:rPr>
                <w:b w:val="0"/>
                <w:i w:val="0"/>
                <w:color w:val="33403B"/>
                <w:sz w:val="18"/>
              </w:rPr>
              <w:t>REM-02</w:t>
            </w:r>
          </w:p>
        </w:tc>
        <w:tc>
          <w:tcPr>
            <w:tcW w:type="dxa" w:w="1711"/>
            <w:tcBorders>
              <w:bottom w:val="single" w:sz="4" w:space="0" w:color="DFE7E3"/>
            </w:tcBorders>
            <w:shd w:val="clear" w:color="auto" w:fill="FDEAED"/>
          </w:tcPr>
          <w:p>
            <w:r>
              <w:rPr>
                <w:b/>
                <w:i w:val="0"/>
                <w:color w:val="A3243C"/>
                <w:sz w:val="17"/>
              </w:rPr>
              <w:t>Critique</w:t>
            </w:r>
          </w:p>
        </w:tc>
        <w:tc>
          <w:tcPr>
            <w:tcW w:type="dxa" w:w="1882"/>
            <w:tcBorders>
              <w:bottom w:val="single" w:sz="4" w:space="0" w:color="DFE7E3"/>
            </w:tcBorders>
          </w:tcPr>
          <w:p>
            <w:r>
              <w:rPr>
                <w:b w:val="0"/>
                <w:i w:val="0"/>
                <w:color w:val="33403B"/>
                <w:sz w:val="18"/>
              </w:rPr>
              <w:t>Résilience</w:t>
            </w:r>
          </w:p>
        </w:tc>
        <w:tc>
          <w:tcPr>
            <w:tcW w:type="dxa" w:w="4620"/>
            <w:tcBorders>
              <w:bottom w:val="single" w:sz="4" w:space="0" w:color="DFE7E3"/>
            </w:tcBorders>
          </w:tcPr>
          <w:p>
            <w:r>
              <w:rPr>
                <w:b w:val="0"/>
                <w:i w:val="0"/>
                <w:color w:val="33403B"/>
                <w:sz w:val="18"/>
              </w:rPr>
              <w:t>Mettre en place une sauvegarde immuable hors site et tester la restauration complète du MES — traite ER-01.</w:t>
            </w:r>
          </w:p>
        </w:tc>
      </w:tr>
      <w:tr>
        <w:tc>
          <w:tcPr>
            <w:tcW w:type="dxa" w:w="1198"/>
            <w:tcBorders>
              <w:bottom w:val="single" w:sz="4" w:space="0" w:color="DFE7E3"/>
            </w:tcBorders>
          </w:tcPr>
          <w:p>
            <w:r>
              <w:rPr>
                <w:b w:val="0"/>
                <w:i w:val="0"/>
                <w:color w:val="33403B"/>
                <w:sz w:val="18"/>
              </w:rPr>
              <w:t>REM-03</w:t>
            </w:r>
          </w:p>
        </w:tc>
        <w:tc>
          <w:tcPr>
            <w:tcW w:type="dxa" w:w="1711"/>
            <w:tcBorders>
              <w:bottom w:val="single" w:sz="4" w:space="0" w:color="DFE7E3"/>
            </w:tcBorders>
            <w:shd w:val="clear" w:color="auto" w:fill="FDEAED"/>
          </w:tcPr>
          <w:p>
            <w:r>
              <w:rPr>
                <w:b/>
                <w:i w:val="0"/>
                <w:color w:val="A3243C"/>
                <w:sz w:val="17"/>
              </w:rPr>
              <w:t>Critique</w:t>
            </w:r>
          </w:p>
        </w:tc>
        <w:tc>
          <w:tcPr>
            <w:tcW w:type="dxa" w:w="1882"/>
            <w:tcBorders>
              <w:bottom w:val="single" w:sz="4" w:space="0" w:color="DFE7E3"/>
            </w:tcBorders>
          </w:tcPr>
          <w:p>
            <w:r>
              <w:rPr>
                <w:b w:val="0"/>
                <w:i w:val="0"/>
                <w:color w:val="33403B"/>
                <w:sz w:val="18"/>
              </w:rPr>
              <w:t>Protection</w:t>
            </w:r>
          </w:p>
        </w:tc>
        <w:tc>
          <w:tcPr>
            <w:tcW w:type="dxa" w:w="4620"/>
            <w:tcBorders>
              <w:bottom w:val="single" w:sz="4" w:space="0" w:color="DFE7E3"/>
            </w:tcBorders>
          </w:tcPr>
          <w:p>
            <w:r>
              <w:rPr>
                <w:b w:val="0"/>
                <w:i w:val="0"/>
                <w:color w:val="33403B"/>
                <w:sz w:val="18"/>
              </w:rPr>
              <w:t>Généraliser le MFA à tous les comptes M365 et VPN, y compris prestataires — traite SO-01 et SO-02.</w:t>
            </w:r>
          </w:p>
        </w:tc>
      </w:tr>
      <w:tr>
        <w:tc>
          <w:tcPr>
            <w:tcW w:type="dxa" w:w="1198"/>
            <w:tcBorders>
              <w:bottom w:val="single" w:sz="4" w:space="0" w:color="DFE7E3"/>
            </w:tcBorders>
          </w:tcPr>
          <w:p>
            <w:r>
              <w:rPr>
                <w:b w:val="0"/>
                <w:i w:val="0"/>
                <w:color w:val="33403B"/>
                <w:sz w:val="18"/>
              </w:rPr>
              <w:t>REM-04</w:t>
            </w:r>
          </w:p>
        </w:tc>
        <w:tc>
          <w:tcPr>
            <w:tcW w:type="dxa" w:w="1711"/>
            <w:tcBorders>
              <w:bottom w:val="single" w:sz="4" w:space="0" w:color="DFE7E3"/>
            </w:tcBorders>
            <w:shd w:val="clear" w:color="auto" w:fill="FDF3E0"/>
          </w:tcPr>
          <w:p>
            <w:r>
              <w:rPr>
                <w:b/>
                <w:i w:val="0"/>
                <w:color w:val="8A5B00"/>
                <w:sz w:val="17"/>
              </w:rPr>
              <w:t>Élevé</w:t>
            </w:r>
          </w:p>
        </w:tc>
        <w:tc>
          <w:tcPr>
            <w:tcW w:type="dxa" w:w="1882"/>
            <w:tcBorders>
              <w:bottom w:val="single" w:sz="4" w:space="0" w:color="DFE7E3"/>
            </w:tcBorders>
          </w:tcPr>
          <w:p>
            <w:r>
              <w:rPr>
                <w:b w:val="0"/>
                <w:i w:val="0"/>
                <w:color w:val="33403B"/>
                <w:sz w:val="18"/>
              </w:rPr>
              <w:t>Défense</w:t>
            </w:r>
          </w:p>
        </w:tc>
        <w:tc>
          <w:tcPr>
            <w:tcW w:type="dxa" w:w="4620"/>
            <w:tcBorders>
              <w:bottom w:val="single" w:sz="4" w:space="0" w:color="DFE7E3"/>
            </w:tcBorders>
          </w:tcPr>
          <w:p>
            <w:r>
              <w:rPr>
                <w:b w:val="0"/>
                <w:i w:val="0"/>
                <w:color w:val="33403B"/>
                <w:sz w:val="18"/>
              </w:rPr>
              <w:t>Déployer un EDR sur les 168 postes et les serveurs, avec supervision — traite SO-01.</w:t>
            </w:r>
          </w:p>
        </w:tc>
      </w:tr>
      <w:tr>
        <w:tc>
          <w:tcPr>
            <w:tcW w:type="dxa" w:w="1198"/>
            <w:tcBorders>
              <w:bottom w:val="single" w:sz="4" w:space="0" w:color="DFE7E3"/>
            </w:tcBorders>
          </w:tcPr>
          <w:p>
            <w:r>
              <w:rPr>
                <w:b w:val="0"/>
                <w:i w:val="0"/>
                <w:color w:val="33403B"/>
                <w:sz w:val="18"/>
              </w:rPr>
              <w:t>REM-05</w:t>
            </w:r>
          </w:p>
        </w:tc>
        <w:tc>
          <w:tcPr>
            <w:tcW w:type="dxa" w:w="1711"/>
            <w:tcBorders>
              <w:bottom w:val="single" w:sz="4" w:space="0" w:color="DFE7E3"/>
            </w:tcBorders>
            <w:shd w:val="clear" w:color="auto" w:fill="FDF3E0"/>
          </w:tcPr>
          <w:p>
            <w:r>
              <w:rPr>
                <w:b/>
                <w:i w:val="0"/>
                <w:color w:val="8A5B00"/>
                <w:sz w:val="17"/>
              </w:rPr>
              <w:t>Élevé</w:t>
            </w:r>
          </w:p>
        </w:tc>
        <w:tc>
          <w:tcPr>
            <w:tcW w:type="dxa" w:w="1882"/>
            <w:tcBorders>
              <w:bottom w:val="single" w:sz="4" w:space="0" w:color="DFE7E3"/>
            </w:tcBorders>
          </w:tcPr>
          <w:p>
            <w:r>
              <w:rPr>
                <w:b w:val="0"/>
                <w:i w:val="0"/>
                <w:color w:val="33403B"/>
                <w:sz w:val="18"/>
              </w:rPr>
              <w:t>Protection</w:t>
            </w:r>
          </w:p>
        </w:tc>
        <w:tc>
          <w:tcPr>
            <w:tcW w:type="dxa" w:w="4620"/>
            <w:tcBorders>
              <w:bottom w:val="single" w:sz="4" w:space="0" w:color="DFE7E3"/>
            </w:tcBorders>
          </w:tcPr>
          <w:p>
            <w:r>
              <w:rPr>
                <w:b w:val="0"/>
                <w:i w:val="0"/>
                <w:color w:val="33403B"/>
                <w:sz w:val="18"/>
              </w:rPr>
              <w:t>Restreindre l'accès au NAS R&amp;D par groupe AD et bloquer les périphériques USB par GPO — traite SO-03.</w:t>
            </w:r>
          </w:p>
        </w:tc>
      </w:tr>
      <w:tr>
        <w:tc>
          <w:tcPr>
            <w:tcW w:type="dxa" w:w="1198"/>
            <w:tcBorders>
              <w:bottom w:val="single" w:sz="4" w:space="0" w:color="DFE7E3"/>
            </w:tcBorders>
          </w:tcPr>
          <w:p>
            <w:r>
              <w:rPr>
                <w:b w:val="0"/>
                <w:i w:val="0"/>
                <w:color w:val="33403B"/>
                <w:sz w:val="18"/>
              </w:rPr>
              <w:t>REM-06</w:t>
            </w:r>
          </w:p>
        </w:tc>
        <w:tc>
          <w:tcPr>
            <w:tcW w:type="dxa" w:w="1711"/>
            <w:tcBorders>
              <w:bottom w:val="single" w:sz="4" w:space="0" w:color="DFE7E3"/>
            </w:tcBorders>
            <w:shd w:val="clear" w:color="auto" w:fill="FDF3E0"/>
          </w:tcPr>
          <w:p>
            <w:r>
              <w:rPr>
                <w:b/>
                <w:i w:val="0"/>
                <w:color w:val="8A5B00"/>
                <w:sz w:val="17"/>
              </w:rPr>
              <w:t>Élevé</w:t>
            </w:r>
          </w:p>
        </w:tc>
        <w:tc>
          <w:tcPr>
            <w:tcW w:type="dxa" w:w="1882"/>
            <w:tcBorders>
              <w:bottom w:val="single" w:sz="4" w:space="0" w:color="DFE7E3"/>
            </w:tcBorders>
          </w:tcPr>
          <w:p>
            <w:r>
              <w:rPr>
                <w:b w:val="0"/>
                <w:i w:val="0"/>
                <w:color w:val="33403B"/>
                <w:sz w:val="18"/>
              </w:rPr>
              <w:t>Gouvernance</w:t>
            </w:r>
          </w:p>
        </w:tc>
        <w:tc>
          <w:tcPr>
            <w:tcW w:type="dxa" w:w="4620"/>
            <w:tcBorders>
              <w:bottom w:val="single" w:sz="4" w:space="0" w:color="DFE7E3"/>
            </w:tcBorders>
          </w:tcPr>
          <w:p>
            <w:r>
              <w:rPr>
                <w:b w:val="0"/>
                <w:i w:val="0"/>
                <w:color w:val="33403B"/>
                <w:sz w:val="18"/>
              </w:rPr>
              <w:t>Faire adopter la PSSI par la direction et nommer un référent sécurité à temps partiel — aucune gouvernance formalisée à ce jour.</w:t>
            </w:r>
          </w:p>
        </w:tc>
      </w:tr>
      <w:tr>
        <w:tc>
          <w:tcPr>
            <w:tcW w:type="dxa" w:w="1198"/>
            <w:tcBorders>
              <w:bottom w:val="single" w:sz="4" w:space="0" w:color="DFE7E3"/>
            </w:tcBorders>
          </w:tcPr>
          <w:p>
            <w:r>
              <w:rPr>
                <w:b w:val="0"/>
                <w:i w:val="0"/>
                <w:color w:val="33403B"/>
                <w:sz w:val="18"/>
              </w:rPr>
              <w:t>REM-07</w:t>
            </w:r>
          </w:p>
        </w:tc>
        <w:tc>
          <w:tcPr>
            <w:tcW w:type="dxa" w:w="1711"/>
            <w:tcBorders>
              <w:bottom w:val="single" w:sz="4" w:space="0" w:color="DFE7E3"/>
            </w:tcBorders>
            <w:shd w:val="clear" w:color="auto" w:fill="E8F4FD"/>
          </w:tcPr>
          <w:p>
            <w:r>
              <w:rPr>
                <w:b/>
                <w:i w:val="0"/>
                <w:color w:val="1D5F88"/>
                <w:sz w:val="17"/>
              </w:rPr>
              <w:t>Moyen</w:t>
            </w:r>
          </w:p>
        </w:tc>
        <w:tc>
          <w:tcPr>
            <w:tcW w:type="dxa" w:w="1882"/>
            <w:tcBorders>
              <w:bottom w:val="single" w:sz="4" w:space="0" w:color="DFE7E3"/>
            </w:tcBorders>
          </w:tcPr>
          <w:p>
            <w:r>
              <w:rPr>
                <w:b w:val="0"/>
                <w:i w:val="0"/>
                <w:color w:val="33403B"/>
                <w:sz w:val="18"/>
              </w:rPr>
              <w:t>Défense</w:t>
            </w:r>
          </w:p>
        </w:tc>
        <w:tc>
          <w:tcPr>
            <w:tcW w:type="dxa" w:w="4620"/>
            <w:tcBorders>
              <w:bottom w:val="single" w:sz="4" w:space="0" w:color="DFE7E3"/>
            </w:tcBorders>
          </w:tcPr>
          <w:p>
            <w:r>
              <w:rPr>
                <w:b w:val="0"/>
                <w:i w:val="0"/>
                <w:color w:val="33403B"/>
                <w:sz w:val="18"/>
              </w:rPr>
              <w:t>Centraliser les journaux (AD, pare-feu, M365, NVR) avec une rétention de 12 mois — traite SO-04 et conditionne toute investigation.</w:t>
            </w:r>
          </w:p>
        </w:tc>
      </w:tr>
      <w:tr>
        <w:tc>
          <w:tcPr>
            <w:tcW w:type="dxa" w:w="1198"/>
            <w:tcBorders>
              <w:bottom w:val="single" w:sz="4" w:space="0" w:color="DFE7E3"/>
            </w:tcBorders>
          </w:tcPr>
          <w:p>
            <w:r>
              <w:rPr>
                <w:b w:val="0"/>
                <w:i w:val="0"/>
                <w:color w:val="33403B"/>
                <w:sz w:val="18"/>
              </w:rPr>
              <w:t>REM-08</w:t>
            </w:r>
          </w:p>
        </w:tc>
        <w:tc>
          <w:tcPr>
            <w:tcW w:type="dxa" w:w="1711"/>
            <w:tcBorders>
              <w:bottom w:val="single" w:sz="4" w:space="0" w:color="DFE7E3"/>
            </w:tcBorders>
            <w:shd w:val="clear" w:color="auto" w:fill="E8F4FD"/>
          </w:tcPr>
          <w:p>
            <w:r>
              <w:rPr>
                <w:b/>
                <w:i w:val="0"/>
                <w:color w:val="1D5F88"/>
                <w:sz w:val="17"/>
              </w:rPr>
              <w:t>Moyen</w:t>
            </w:r>
          </w:p>
        </w:tc>
        <w:tc>
          <w:tcPr>
            <w:tcW w:type="dxa" w:w="1882"/>
            <w:tcBorders>
              <w:bottom w:val="single" w:sz="4" w:space="0" w:color="DFE7E3"/>
            </w:tcBorders>
          </w:tcPr>
          <w:p>
            <w:r>
              <w:rPr>
                <w:b w:val="0"/>
                <w:i w:val="0"/>
                <w:color w:val="33403B"/>
                <w:sz w:val="18"/>
              </w:rPr>
              <w:t>Gouvernance</w:t>
            </w:r>
          </w:p>
        </w:tc>
        <w:tc>
          <w:tcPr>
            <w:tcW w:type="dxa" w:w="4620"/>
            <w:tcBorders>
              <w:bottom w:val="single" w:sz="4" w:space="0" w:color="DFE7E3"/>
            </w:tcBorders>
          </w:tcPr>
          <w:p>
            <w:r>
              <w:rPr>
                <w:b w:val="0"/>
                <w:i w:val="0"/>
                <w:color w:val="33403B"/>
                <w:sz w:val="18"/>
              </w:rPr>
              <w:t>Mettre en place une revue trimestrielle des accès et un processus de départ salarié — traite SO-03.</w:t>
            </w:r>
          </w:p>
        </w:tc>
      </w:tr>
    </w:tbl>
    <w:p/>
    <w:p>
      <w:pPr>
        <w:spacing w:before="200" w:after="40"/>
      </w:pPr>
      <w:r>
        <w:rPr>
          <w:b/>
          <w:i w:val="0"/>
          <w:color w:val="0C2317"/>
          <w:sz w:val="21"/>
        </w:rPr>
        <w:t>11.1bis Pilotage (responsable, échéance, statut)</w:t>
      </w:r>
    </w:p>
    <w:tbl>
      <w:tblPr>
        <w:tblW w:type="auto" w:w="0"/>
        <w:jc w:val="left"/>
        <w:tblLayout w:type="fixed"/>
        <w:tblLook w:firstColumn="1" w:firstRow="1" w:lastColumn="0" w:lastRow="0" w:noHBand="0" w:noVBand="1" w:val="04A0"/>
      </w:tblPr>
      <w:tblGrid>
        <w:gridCol w:w="1027"/>
        <w:gridCol w:w="2396"/>
        <w:gridCol w:w="1711"/>
        <w:gridCol w:w="1711"/>
        <w:gridCol w:w="2567"/>
      </w:tblGrid>
      <w:tr>
        <w:tc>
          <w:tcPr>
            <w:tcW w:type="dxa" w:w="1027"/>
            <w:shd w:val="clear" w:color="auto" w:fill="F2FBF7"/>
            <w:tcBorders>
              <w:bottom w:val="single" w:sz="6" w:space="0" w:color="C9DBD3"/>
            </w:tcBorders>
          </w:tcPr>
          <w:p>
            <w:r>
              <w:rPr>
                <w:b/>
                <w:i w:val="0"/>
                <w:color w:val="0C2317"/>
                <w:sz w:val="16"/>
              </w:rPr>
              <w:t>ID</w:t>
            </w:r>
          </w:p>
        </w:tc>
        <w:tc>
          <w:tcPr>
            <w:tcW w:type="dxa" w:w="2396"/>
            <w:shd w:val="clear" w:color="auto" w:fill="F2FBF7"/>
            <w:tcBorders>
              <w:bottom w:val="single" w:sz="6" w:space="0" w:color="C9DBD3"/>
            </w:tcBorders>
          </w:tcPr>
          <w:p>
            <w:r>
              <w:rPr>
                <w:b/>
                <w:i w:val="0"/>
                <w:color w:val="0C2317"/>
                <w:sz w:val="16"/>
              </w:rPr>
              <w:t>Responsable</w:t>
            </w:r>
          </w:p>
        </w:tc>
        <w:tc>
          <w:tcPr>
            <w:tcW w:type="dxa" w:w="1711"/>
            <w:shd w:val="clear" w:color="auto" w:fill="F2FBF7"/>
            <w:tcBorders>
              <w:bottom w:val="single" w:sz="6" w:space="0" w:color="C9DBD3"/>
            </w:tcBorders>
          </w:tcPr>
          <w:p>
            <w:r>
              <w:rPr>
                <w:b/>
                <w:i w:val="0"/>
                <w:color w:val="0C2317"/>
                <w:sz w:val="16"/>
              </w:rPr>
              <w:t>Échéance</w:t>
            </w:r>
          </w:p>
        </w:tc>
        <w:tc>
          <w:tcPr>
            <w:tcW w:type="dxa" w:w="1711"/>
            <w:shd w:val="clear" w:color="auto" w:fill="F2FBF7"/>
            <w:tcBorders>
              <w:bottom w:val="single" w:sz="6" w:space="0" w:color="C9DBD3"/>
            </w:tcBorders>
          </w:tcPr>
          <w:p>
            <w:r>
              <w:rPr>
                <w:b/>
                <w:i w:val="0"/>
                <w:color w:val="0C2317"/>
                <w:sz w:val="16"/>
              </w:rPr>
              <w:t>Statut</w:t>
            </w:r>
          </w:p>
        </w:tc>
        <w:tc>
          <w:tcPr>
            <w:tcW w:type="dxa" w:w="2567"/>
            <w:shd w:val="clear" w:color="auto" w:fill="F2FBF7"/>
            <w:tcBorders>
              <w:bottom w:val="single" w:sz="6" w:space="0" w:color="C9DBD3"/>
            </w:tcBorders>
          </w:tcPr>
          <w:p>
            <w:r>
              <w:rPr>
                <w:b/>
                <w:i w:val="0"/>
                <w:color w:val="0C2317"/>
                <w:sz w:val="16"/>
              </w:rPr>
              <w:t>Coût estimé</w:t>
            </w:r>
          </w:p>
        </w:tc>
      </w:tr>
      <w:tr>
        <w:tc>
          <w:tcPr>
            <w:tcW w:type="dxa" w:w="1027"/>
            <w:tcBorders>
              <w:bottom w:val="single" w:sz="4" w:space="0" w:color="DFE7E3"/>
            </w:tcBorders>
          </w:tcPr>
          <w:p>
            <w:r>
              <w:rPr>
                <w:b w:val="0"/>
                <w:i w:val="0"/>
                <w:color w:val="33403B"/>
                <w:sz w:val="18"/>
              </w:rPr>
              <w:t>REM-01</w:t>
            </w:r>
          </w:p>
        </w:tc>
        <w:tc>
          <w:tcPr>
            <w:tcW w:type="dxa" w:w="2396"/>
            <w:tcBorders>
              <w:bottom w:val="single" w:sz="4" w:space="0" w:color="DFE7E3"/>
            </w:tcBorders>
          </w:tcPr>
          <w:p>
            <w:r>
              <w:rPr>
                <w:b w:val="0"/>
                <w:i w:val="0"/>
                <w:color w:val="33403B"/>
                <w:sz w:val="18"/>
              </w:rPr>
              <w:t>DSI</w:t>
            </w:r>
          </w:p>
        </w:tc>
        <w:tc>
          <w:tcPr>
            <w:tcW w:type="dxa" w:w="1711"/>
            <w:tcBorders>
              <w:bottom w:val="single" w:sz="4" w:space="0" w:color="DFE7E3"/>
            </w:tcBorders>
          </w:tcPr>
          <w:p>
            <w:r>
              <w:rPr>
                <w:b w:val="0"/>
                <w:i w:val="0"/>
                <w:color w:val="33403B"/>
                <w:sz w:val="18"/>
              </w:rPr>
              <w:t>2026-09-30</w:t>
            </w:r>
          </w:p>
        </w:tc>
        <w:tc>
          <w:tcPr>
            <w:tcW w:type="dxa" w:w="1711"/>
            <w:tcBorders>
              <w:bottom w:val="single" w:sz="4" w:space="0" w:color="DFE7E3"/>
            </w:tcBorders>
          </w:tcPr>
          <w:p>
            <w:r>
              <w:rPr>
                <w:b w:val="0"/>
                <w:i w:val="0"/>
                <w:color w:val="33403B"/>
                <w:sz w:val="18"/>
              </w:rPr>
              <w:t>En cours</w:t>
            </w:r>
          </w:p>
        </w:tc>
        <w:tc>
          <w:tcPr>
            <w:tcW w:type="dxa" w:w="2567"/>
            <w:tcBorders>
              <w:bottom w:val="single" w:sz="4" w:space="0" w:color="DFE7E3"/>
            </w:tcBorders>
          </w:tcPr>
          <w:p>
            <w:r>
              <w:rPr>
                <w:b w:val="0"/>
                <w:i w:val="0"/>
                <w:color w:val="33403B"/>
                <w:sz w:val="18"/>
              </w:rPr>
              <w:t>Moyen</w:t>
            </w:r>
          </w:p>
        </w:tc>
      </w:tr>
      <w:tr>
        <w:tc>
          <w:tcPr>
            <w:tcW w:type="dxa" w:w="1027"/>
            <w:tcBorders>
              <w:bottom w:val="single" w:sz="4" w:space="0" w:color="DFE7E3"/>
            </w:tcBorders>
          </w:tcPr>
          <w:p>
            <w:r>
              <w:rPr>
                <w:b w:val="0"/>
                <w:i w:val="0"/>
                <w:color w:val="33403B"/>
                <w:sz w:val="18"/>
              </w:rPr>
              <w:t>REM-02</w:t>
            </w:r>
          </w:p>
        </w:tc>
        <w:tc>
          <w:tcPr>
            <w:tcW w:type="dxa" w:w="2396"/>
            <w:tcBorders>
              <w:bottom w:val="single" w:sz="4" w:space="0" w:color="DFE7E3"/>
            </w:tcBorders>
          </w:tcPr>
          <w:p>
            <w:r>
              <w:rPr>
                <w:b w:val="0"/>
                <w:i w:val="0"/>
                <w:color w:val="33403B"/>
                <w:sz w:val="18"/>
              </w:rPr>
              <w:t>DSI</w:t>
            </w:r>
          </w:p>
        </w:tc>
        <w:tc>
          <w:tcPr>
            <w:tcW w:type="dxa" w:w="1711"/>
            <w:tcBorders>
              <w:bottom w:val="single" w:sz="4" w:space="0" w:color="DFE7E3"/>
            </w:tcBorders>
          </w:tcPr>
          <w:p>
            <w:r>
              <w:rPr>
                <w:b w:val="0"/>
                <w:i w:val="0"/>
                <w:color w:val="33403B"/>
                <w:sz w:val="18"/>
              </w:rPr>
              <w:t>2026-09-15</w:t>
            </w:r>
          </w:p>
        </w:tc>
        <w:tc>
          <w:tcPr>
            <w:tcW w:type="dxa" w:w="1711"/>
            <w:tcBorders>
              <w:bottom w:val="single" w:sz="4" w:space="0" w:color="DFE7E3"/>
            </w:tcBorders>
          </w:tcPr>
          <w:p>
            <w:r>
              <w:rPr>
                <w:b w:val="0"/>
                <w:i w:val="0"/>
                <w:color w:val="33403B"/>
                <w:sz w:val="18"/>
              </w:rPr>
              <w:t>Fait</w:t>
            </w:r>
          </w:p>
        </w:tc>
        <w:tc>
          <w:tcPr>
            <w:tcW w:type="dxa" w:w="2567"/>
            <w:tcBorders>
              <w:bottom w:val="single" w:sz="4" w:space="0" w:color="DFE7E3"/>
            </w:tcBorders>
          </w:tcPr>
          <w:p>
            <w:r>
              <w:rPr>
                <w:b w:val="0"/>
                <w:i w:val="0"/>
                <w:color w:val="33403B"/>
                <w:sz w:val="18"/>
              </w:rPr>
              <w:t>Léger</w:t>
            </w:r>
          </w:p>
        </w:tc>
      </w:tr>
      <w:tr>
        <w:tc>
          <w:tcPr>
            <w:tcW w:type="dxa" w:w="1027"/>
            <w:tcBorders>
              <w:bottom w:val="single" w:sz="4" w:space="0" w:color="DFE7E3"/>
            </w:tcBorders>
          </w:tcPr>
          <w:p>
            <w:r>
              <w:rPr>
                <w:b w:val="0"/>
                <w:i w:val="0"/>
                <w:color w:val="33403B"/>
                <w:sz w:val="18"/>
              </w:rPr>
              <w:t>REM-03</w:t>
            </w:r>
          </w:p>
        </w:tc>
        <w:tc>
          <w:tcPr>
            <w:tcW w:type="dxa" w:w="2396"/>
            <w:tcBorders>
              <w:bottom w:val="single" w:sz="4" w:space="0" w:color="DFE7E3"/>
            </w:tcBorders>
          </w:tcPr>
          <w:p>
            <w:r>
              <w:rPr>
                <w:b w:val="0"/>
                <w:i w:val="0"/>
                <w:color w:val="33403B"/>
                <w:sz w:val="18"/>
              </w:rPr>
              <w:t>DSI</w:t>
            </w:r>
          </w:p>
        </w:tc>
        <w:tc>
          <w:tcPr>
            <w:tcW w:type="dxa" w:w="1711"/>
            <w:tcBorders>
              <w:bottom w:val="single" w:sz="4" w:space="0" w:color="DFE7E3"/>
            </w:tcBorders>
          </w:tcPr>
          <w:p>
            <w:r>
              <w:rPr>
                <w:b w:val="0"/>
                <w:i w:val="0"/>
                <w:color w:val="33403B"/>
                <w:sz w:val="18"/>
              </w:rPr>
              <w:t>2026-09-01</w:t>
            </w:r>
          </w:p>
        </w:tc>
        <w:tc>
          <w:tcPr>
            <w:tcW w:type="dxa" w:w="1711"/>
            <w:tcBorders>
              <w:bottom w:val="single" w:sz="4" w:space="0" w:color="DFE7E3"/>
            </w:tcBorders>
          </w:tcPr>
          <w:p>
            <w:r>
              <w:rPr>
                <w:b w:val="0"/>
                <w:i w:val="0"/>
                <w:color w:val="33403B"/>
                <w:sz w:val="18"/>
              </w:rPr>
              <w:t>En cours</w:t>
            </w:r>
          </w:p>
        </w:tc>
        <w:tc>
          <w:tcPr>
            <w:tcW w:type="dxa" w:w="2567"/>
            <w:tcBorders>
              <w:bottom w:val="single" w:sz="4" w:space="0" w:color="DFE7E3"/>
            </w:tcBorders>
          </w:tcPr>
          <w:p>
            <w:r>
              <w:rPr>
                <w:b w:val="0"/>
                <w:i w:val="0"/>
                <w:color w:val="33403B"/>
                <w:sz w:val="18"/>
              </w:rPr>
              <w:t>Léger</w:t>
            </w:r>
          </w:p>
        </w:tc>
      </w:tr>
      <w:tr>
        <w:tc>
          <w:tcPr>
            <w:tcW w:type="dxa" w:w="1027"/>
            <w:tcBorders>
              <w:bottom w:val="single" w:sz="4" w:space="0" w:color="DFE7E3"/>
            </w:tcBorders>
          </w:tcPr>
          <w:p>
            <w:r>
              <w:rPr>
                <w:b w:val="0"/>
                <w:i w:val="0"/>
                <w:color w:val="33403B"/>
                <w:sz w:val="18"/>
              </w:rPr>
              <w:t>REM-04</w:t>
            </w:r>
          </w:p>
        </w:tc>
        <w:tc>
          <w:tcPr>
            <w:tcW w:type="dxa" w:w="2396"/>
            <w:tcBorders>
              <w:bottom w:val="single" w:sz="4" w:space="0" w:color="DFE7E3"/>
            </w:tcBorders>
          </w:tcPr>
          <w:p>
            <w:r>
              <w:rPr>
                <w:b w:val="0"/>
                <w:i w:val="0"/>
                <w:color w:val="33403B"/>
                <w:sz w:val="18"/>
              </w:rPr>
              <w:t>DSI</w:t>
            </w:r>
          </w:p>
        </w:tc>
        <w:tc>
          <w:tcPr>
            <w:tcW w:type="dxa" w:w="1711"/>
            <w:tcBorders>
              <w:bottom w:val="single" w:sz="4" w:space="0" w:color="DFE7E3"/>
            </w:tcBorders>
          </w:tcPr>
          <w:p>
            <w:r>
              <w:rPr>
                <w:b w:val="0"/>
                <w:i w:val="0"/>
                <w:color w:val="33403B"/>
                <w:sz w:val="18"/>
              </w:rPr>
              <w:t>2026-11-30</w:t>
            </w:r>
          </w:p>
        </w:tc>
        <w:tc>
          <w:tcPr>
            <w:tcW w:type="dxa" w:w="1711"/>
            <w:tcBorders>
              <w:bottom w:val="single" w:sz="4" w:space="0" w:color="DFE7E3"/>
            </w:tcBorders>
          </w:tcPr>
          <w:p>
            <w:r>
              <w:rPr>
                <w:b w:val="0"/>
                <w:i w:val="0"/>
                <w:color w:val="33403B"/>
                <w:sz w:val="18"/>
              </w:rPr>
              <w:t>À faire</w:t>
            </w:r>
          </w:p>
        </w:tc>
        <w:tc>
          <w:tcPr>
            <w:tcW w:type="dxa" w:w="2567"/>
            <w:tcBorders>
              <w:bottom w:val="single" w:sz="4" w:space="0" w:color="DFE7E3"/>
            </w:tcBorders>
          </w:tcPr>
          <w:p>
            <w:r>
              <w:rPr>
                <w:b w:val="0"/>
                <w:i w:val="0"/>
                <w:color w:val="33403B"/>
                <w:sz w:val="18"/>
              </w:rPr>
              <w:t>Élevé</w:t>
            </w:r>
          </w:p>
        </w:tc>
      </w:tr>
      <w:tr>
        <w:tc>
          <w:tcPr>
            <w:tcW w:type="dxa" w:w="1027"/>
            <w:tcBorders>
              <w:bottom w:val="single" w:sz="4" w:space="0" w:color="DFE7E3"/>
            </w:tcBorders>
          </w:tcPr>
          <w:p>
            <w:r>
              <w:rPr>
                <w:b w:val="0"/>
                <w:i w:val="0"/>
                <w:color w:val="33403B"/>
                <w:sz w:val="18"/>
              </w:rPr>
              <w:t>REM-05</w:t>
            </w:r>
          </w:p>
        </w:tc>
        <w:tc>
          <w:tcPr>
            <w:tcW w:type="dxa" w:w="2396"/>
            <w:tcBorders>
              <w:bottom w:val="single" w:sz="4" w:space="0" w:color="DFE7E3"/>
            </w:tcBorders>
          </w:tcPr>
          <w:p>
            <w:r>
              <w:rPr>
                <w:b w:val="0"/>
                <w:i w:val="0"/>
                <w:color w:val="33403B"/>
                <w:sz w:val="18"/>
              </w:rPr>
              <w:t>DSI</w:t>
            </w:r>
          </w:p>
        </w:tc>
        <w:tc>
          <w:tcPr>
            <w:tcW w:type="dxa" w:w="1711"/>
            <w:tcBorders>
              <w:bottom w:val="single" w:sz="4" w:space="0" w:color="DFE7E3"/>
            </w:tcBorders>
          </w:tcPr>
          <w:p>
            <w:r>
              <w:rPr>
                <w:b w:val="0"/>
                <w:i w:val="0"/>
                <w:color w:val="33403B"/>
                <w:sz w:val="18"/>
              </w:rPr>
              <w:t>2026-09-30</w:t>
            </w:r>
          </w:p>
        </w:tc>
        <w:tc>
          <w:tcPr>
            <w:tcW w:type="dxa" w:w="1711"/>
            <w:tcBorders>
              <w:bottom w:val="single" w:sz="4" w:space="0" w:color="DFE7E3"/>
            </w:tcBorders>
          </w:tcPr>
          <w:p>
            <w:r>
              <w:rPr>
                <w:b w:val="0"/>
                <w:i w:val="0"/>
                <w:color w:val="33403B"/>
                <w:sz w:val="18"/>
              </w:rPr>
              <w:t>À faire</w:t>
            </w:r>
          </w:p>
        </w:tc>
        <w:tc>
          <w:tcPr>
            <w:tcW w:type="dxa" w:w="2567"/>
            <w:tcBorders>
              <w:bottom w:val="single" w:sz="4" w:space="0" w:color="DFE7E3"/>
            </w:tcBorders>
          </w:tcPr>
          <w:p>
            <w:r>
              <w:rPr>
                <w:b w:val="0"/>
                <w:i w:val="0"/>
                <w:color w:val="33403B"/>
                <w:sz w:val="18"/>
              </w:rPr>
              <w:t>Négligeable</w:t>
            </w:r>
          </w:p>
        </w:tc>
      </w:tr>
      <w:tr>
        <w:tc>
          <w:tcPr>
            <w:tcW w:type="dxa" w:w="1027"/>
            <w:tcBorders>
              <w:bottom w:val="single" w:sz="4" w:space="0" w:color="DFE7E3"/>
            </w:tcBorders>
          </w:tcPr>
          <w:p>
            <w:r>
              <w:rPr>
                <w:b w:val="0"/>
                <w:i w:val="0"/>
                <w:color w:val="33403B"/>
                <w:sz w:val="18"/>
              </w:rPr>
              <w:t>REM-06</w:t>
            </w:r>
          </w:p>
        </w:tc>
        <w:tc>
          <w:tcPr>
            <w:tcW w:type="dxa" w:w="2396"/>
            <w:tcBorders>
              <w:bottom w:val="single" w:sz="4" w:space="0" w:color="DFE7E3"/>
            </w:tcBorders>
          </w:tcPr>
          <w:p>
            <w:r>
              <w:rPr>
                <w:b w:val="0"/>
                <w:i w:val="0"/>
                <w:color w:val="33403B"/>
                <w:sz w:val="18"/>
              </w:rPr>
              <w:t>Direction Générale</w:t>
            </w:r>
          </w:p>
        </w:tc>
        <w:tc>
          <w:tcPr>
            <w:tcW w:type="dxa" w:w="1711"/>
            <w:tcBorders>
              <w:bottom w:val="single" w:sz="4" w:space="0" w:color="DFE7E3"/>
            </w:tcBorders>
          </w:tcPr>
          <w:p>
            <w:r>
              <w:rPr>
                <w:b w:val="0"/>
                <w:i w:val="0"/>
                <w:color w:val="33403B"/>
                <w:sz w:val="18"/>
              </w:rPr>
              <w:t>2026-10-15</w:t>
            </w:r>
          </w:p>
        </w:tc>
        <w:tc>
          <w:tcPr>
            <w:tcW w:type="dxa" w:w="1711"/>
            <w:tcBorders>
              <w:bottom w:val="single" w:sz="4" w:space="0" w:color="DFE7E3"/>
            </w:tcBorders>
          </w:tcPr>
          <w:p>
            <w:r>
              <w:rPr>
                <w:b w:val="0"/>
                <w:i w:val="0"/>
                <w:color w:val="33403B"/>
                <w:sz w:val="18"/>
              </w:rPr>
              <w:t>À faire</w:t>
            </w:r>
          </w:p>
        </w:tc>
        <w:tc>
          <w:tcPr>
            <w:tcW w:type="dxa" w:w="2567"/>
            <w:tcBorders>
              <w:bottom w:val="single" w:sz="4" w:space="0" w:color="DFE7E3"/>
            </w:tcBorders>
          </w:tcPr>
          <w:p>
            <w:r>
              <w:rPr>
                <w:b w:val="0"/>
                <w:i w:val="0"/>
                <w:color w:val="33403B"/>
                <w:sz w:val="18"/>
              </w:rPr>
              <w:t>Négligeable</w:t>
            </w:r>
          </w:p>
        </w:tc>
      </w:tr>
      <w:tr>
        <w:tc>
          <w:tcPr>
            <w:tcW w:type="dxa" w:w="1027"/>
            <w:tcBorders>
              <w:bottom w:val="single" w:sz="4" w:space="0" w:color="DFE7E3"/>
            </w:tcBorders>
          </w:tcPr>
          <w:p>
            <w:r>
              <w:rPr>
                <w:b w:val="0"/>
                <w:i w:val="0"/>
                <w:color w:val="33403B"/>
                <w:sz w:val="18"/>
              </w:rPr>
              <w:t>REM-07</w:t>
            </w:r>
          </w:p>
        </w:tc>
        <w:tc>
          <w:tcPr>
            <w:tcW w:type="dxa" w:w="2396"/>
            <w:tcBorders>
              <w:bottom w:val="single" w:sz="4" w:space="0" w:color="DFE7E3"/>
            </w:tcBorders>
          </w:tcPr>
          <w:p>
            <w:r>
              <w:rPr>
                <w:b w:val="0"/>
                <w:i w:val="0"/>
                <w:color w:val="33403B"/>
                <w:sz w:val="18"/>
              </w:rPr>
              <w:t>RSSI</w:t>
            </w:r>
          </w:p>
        </w:tc>
        <w:tc>
          <w:tcPr>
            <w:tcW w:type="dxa" w:w="1711"/>
            <w:tcBorders>
              <w:bottom w:val="single" w:sz="4" w:space="0" w:color="DFE7E3"/>
            </w:tcBorders>
          </w:tcPr>
          <w:p>
            <w:r>
              <w:rPr>
                <w:b w:val="0"/>
                <w:i w:val="0"/>
                <w:color w:val="33403B"/>
                <w:sz w:val="18"/>
              </w:rPr>
              <w:t>2026-12-15</w:t>
            </w:r>
          </w:p>
        </w:tc>
        <w:tc>
          <w:tcPr>
            <w:tcW w:type="dxa" w:w="1711"/>
            <w:tcBorders>
              <w:bottom w:val="single" w:sz="4" w:space="0" w:color="DFE7E3"/>
            </w:tcBorders>
          </w:tcPr>
          <w:p>
            <w:r>
              <w:rPr>
                <w:b w:val="0"/>
                <w:i w:val="0"/>
                <w:color w:val="33403B"/>
                <w:sz w:val="18"/>
              </w:rPr>
              <w:t>À faire</w:t>
            </w:r>
          </w:p>
        </w:tc>
        <w:tc>
          <w:tcPr>
            <w:tcW w:type="dxa" w:w="2567"/>
            <w:tcBorders>
              <w:bottom w:val="single" w:sz="4" w:space="0" w:color="DFE7E3"/>
            </w:tcBorders>
          </w:tcPr>
          <w:p>
            <w:r>
              <w:rPr>
                <w:b w:val="0"/>
                <w:i w:val="0"/>
                <w:color w:val="33403B"/>
                <w:sz w:val="18"/>
              </w:rPr>
              <w:t>Moyen</w:t>
            </w:r>
          </w:p>
        </w:tc>
      </w:tr>
      <w:tr>
        <w:tc>
          <w:tcPr>
            <w:tcW w:type="dxa" w:w="1027"/>
            <w:tcBorders>
              <w:bottom w:val="single" w:sz="4" w:space="0" w:color="DFE7E3"/>
            </w:tcBorders>
          </w:tcPr>
          <w:p>
            <w:r>
              <w:rPr>
                <w:b w:val="0"/>
                <w:i w:val="0"/>
                <w:color w:val="33403B"/>
                <w:sz w:val="18"/>
              </w:rPr>
              <w:t>REM-08</w:t>
            </w:r>
          </w:p>
        </w:tc>
        <w:tc>
          <w:tcPr>
            <w:tcW w:type="dxa" w:w="2396"/>
            <w:tcBorders>
              <w:bottom w:val="single" w:sz="4" w:space="0" w:color="DFE7E3"/>
            </w:tcBorders>
          </w:tcPr>
          <w:p>
            <w:r>
              <w:rPr>
                <w:b w:val="0"/>
                <w:i w:val="0"/>
                <w:color w:val="33403B"/>
                <w:sz w:val="18"/>
              </w:rPr>
              <w:t>RSSI</w:t>
            </w:r>
          </w:p>
        </w:tc>
        <w:tc>
          <w:tcPr>
            <w:tcW w:type="dxa" w:w="1711"/>
            <w:tcBorders>
              <w:bottom w:val="single" w:sz="4" w:space="0" w:color="DFE7E3"/>
            </w:tcBorders>
          </w:tcPr>
          <w:p>
            <w:r>
              <w:rPr>
                <w:b w:val="0"/>
                <w:i w:val="0"/>
                <w:color w:val="33403B"/>
                <w:sz w:val="18"/>
              </w:rPr>
              <w:t>2026-10-01</w:t>
            </w:r>
          </w:p>
        </w:tc>
        <w:tc>
          <w:tcPr>
            <w:tcW w:type="dxa" w:w="1711"/>
            <w:tcBorders>
              <w:bottom w:val="single" w:sz="4" w:space="0" w:color="DFE7E3"/>
            </w:tcBorders>
          </w:tcPr>
          <w:p>
            <w:r>
              <w:rPr>
                <w:b w:val="0"/>
                <w:i w:val="0"/>
                <w:color w:val="33403B"/>
                <w:sz w:val="18"/>
              </w:rPr>
              <w:t>À faire</w:t>
            </w:r>
          </w:p>
        </w:tc>
        <w:tc>
          <w:tcPr>
            <w:tcW w:type="dxa" w:w="2567"/>
            <w:tcBorders>
              <w:bottom w:val="single" w:sz="4" w:space="0" w:color="DFE7E3"/>
            </w:tcBorders>
          </w:tcPr>
          <w:p>
            <w:r>
              <w:rPr>
                <w:b w:val="0"/>
                <w:i w:val="0"/>
                <w:color w:val="33403B"/>
                <w:sz w:val="18"/>
              </w:rPr>
              <w:t>Négligeable</w:t>
            </w:r>
          </w:p>
        </w:tc>
      </w:tr>
    </w:tbl>
    <w:p/>
    <w:p>
      <w:pPr>
        <w:spacing w:before="200" w:after="40"/>
      </w:pPr>
      <w:r>
        <w:rPr>
          <w:b/>
          <w:i w:val="0"/>
          <w:color w:val="0C2317"/>
          <w:sz w:val="21"/>
        </w:rPr>
        <w:t>11.2 Actions immédiates</w:t>
      </w:r>
    </w:p>
    <w:p>
      <w:pPr>
        <w:pStyle w:val="ListNumber"/>
      </w:pPr>
      <w:r>
        <w:rPr>
          <w:b w:val="0"/>
          <w:i w:val="0"/>
          <w:color w:val="33403B"/>
          <w:sz w:val="19"/>
        </w:rPr>
        <w:t>Activer le MFA sur la messagerie et le VPN</w:t>
      </w:r>
    </w:p>
    <w:p>
      <w:pPr>
        <w:pStyle w:val="ListNumber"/>
      </w:pPr>
      <w:r>
        <w:rPr>
          <w:b w:val="0"/>
          <w:i w:val="0"/>
          <w:color w:val="33403B"/>
          <w:sz w:val="19"/>
        </w:rPr>
        <w:t>Changer les mots de passe d'administration par défaut des automates</w:t>
      </w:r>
    </w:p>
    <w:p>
      <w:pPr>
        <w:pStyle w:val="ListNumber"/>
      </w:pPr>
      <w:r>
        <w:rPr>
          <w:b w:val="0"/>
          <w:i w:val="0"/>
          <w:color w:val="33403B"/>
          <w:sz w:val="19"/>
        </w:rPr>
        <w:t>Sortir une copie de sauvegarde du VLAN de production</w:t>
      </w:r>
    </w:p>
    <w:p>
      <w:pPr>
        <w:pStyle w:val="ListNumber"/>
      </w:pPr>
      <w:r>
        <w:rPr>
          <w:b w:val="0"/>
          <w:i w:val="0"/>
          <w:color w:val="33403B"/>
          <w:sz w:val="19"/>
        </w:rPr>
        <w:t>Sensibiliser les 204 salariés à l'hameçonnage</w:t>
      </w:r>
    </w:p>
    <w:p>
      <w:pPr>
        <w:pStyle w:val="ListNumber"/>
      </w:pPr>
      <w:r>
        <w:rPr>
          <w:b w:val="0"/>
          <w:i w:val="0"/>
          <w:color w:val="33403B"/>
          <w:sz w:val="19"/>
        </w:rPr>
        <w:t>Appliquer les correctifs critiques en attente sur les 2 contrôleurs de domaine</w:t>
      </w:r>
    </w:p>
    <w:p>
      <w:pPr>
        <w:pStyle w:val="ListNumber"/>
      </w:pPr>
      <w:r>
        <w:rPr>
          <w:b w:val="0"/>
          <w:i w:val="0"/>
          <w:color w:val="33403B"/>
          <w:sz w:val="19"/>
        </w:rPr>
        <w:t>Retirer les droits d'administrateur local aux utilisateurs standards</w:t>
      </w:r>
    </w:p>
    <w:p>
      <w:pPr>
        <w:spacing w:before="400" w:after="160"/>
        <w:pBdr>
          <w:bottom w:val="single" w:sz="16" w:space="4" w:color="2EE6A0"/>
        </w:pBdr>
      </w:pPr>
      <w:r>
        <w:rPr>
          <w:b/>
          <w:i w:val="0"/>
          <w:color w:val="2EE6A0"/>
          <w:sz w:val="28"/>
        </w:rPr>
        <w:t xml:space="preserve">12. </w:t>
      </w:r>
      <w:r>
        <w:rPr>
          <w:b/>
          <w:i w:val="0"/>
          <w:color w:val="0C2317"/>
          <w:sz w:val="28"/>
        </w:rPr>
        <w:t>Charges consommées</w:t>
      </w:r>
    </w:p>
    <w:tbl>
      <w:tblPr>
        <w:tblW w:type="auto" w:w="0"/>
        <w:jc w:val="left"/>
        <w:tblLayout w:type="fixed"/>
        <w:tblLook w:firstColumn="1" w:firstRow="1" w:lastColumn="0" w:lastRow="0" w:noHBand="0" w:noVBand="1" w:val="04A0"/>
      </w:tblPr>
      <w:tblGrid>
        <w:gridCol w:w="5177"/>
        <w:gridCol w:w="4235"/>
      </w:tblGrid>
      <w:tr>
        <w:tc>
          <w:tcPr>
            <w:tcW w:type="dxa" w:w="5177"/>
            <w:shd w:val="clear" w:color="auto" w:fill="F2FBF7"/>
            <w:tcBorders>
              <w:bottom w:val="single" w:sz="6" w:space="0" w:color="C9DBD3"/>
            </w:tcBorders>
          </w:tcPr>
          <w:p>
            <w:r>
              <w:rPr>
                <w:b/>
                <w:i w:val="0"/>
                <w:color w:val="0C2317"/>
                <w:sz w:val="16"/>
              </w:rPr>
              <w:t>Phase</w:t>
            </w:r>
          </w:p>
        </w:tc>
        <w:tc>
          <w:tcPr>
            <w:tcW w:type="dxa" w:w="4235"/>
            <w:shd w:val="clear" w:color="auto" w:fill="F2FBF7"/>
            <w:tcBorders>
              <w:bottom w:val="single" w:sz="6" w:space="0" w:color="C9DBD3"/>
            </w:tcBorders>
          </w:tcPr>
          <w:p>
            <w:pPr>
              <w:jc w:val="right"/>
            </w:pPr>
            <w:r>
              <w:rPr>
                <w:b/>
                <w:i w:val="0"/>
                <w:color w:val="0C2317"/>
                <w:sz w:val="16"/>
              </w:rPr>
              <w:t>Temps consommé</w:t>
            </w:r>
          </w:p>
        </w:tc>
      </w:tr>
      <w:tr>
        <w:tc>
          <w:tcPr>
            <w:tcW w:type="dxa" w:w="5177"/>
            <w:tcBorders>
              <w:bottom w:val="single" w:sz="4" w:space="0" w:color="DFE7E3"/>
            </w:tcBorders>
          </w:tcPr>
          <w:p>
            <w:r>
              <w:rPr>
                <w:b w:val="0"/>
                <w:i w:val="0"/>
                <w:color w:val="33403B"/>
                <w:sz w:val="18"/>
              </w:rPr>
              <w:t>Cadrage &amp; Patrimoine</w:t>
            </w:r>
          </w:p>
        </w:tc>
        <w:tc>
          <w:tcPr>
            <w:tcW w:type="dxa" w:w="4235"/>
            <w:tcBorders>
              <w:bottom w:val="single" w:sz="4" w:space="0" w:color="DFE7E3"/>
            </w:tcBorders>
          </w:tcPr>
          <w:p>
            <w:pPr>
              <w:jc w:val="right"/>
            </w:pPr>
            <w:r>
              <w:rPr>
                <w:b w:val="0"/>
                <w:i w:val="0"/>
                <w:color w:val="33403B"/>
                <w:sz w:val="18"/>
              </w:rPr>
              <w:t>13 h</w:t>
            </w:r>
          </w:p>
        </w:tc>
      </w:tr>
      <w:tr>
        <w:tc>
          <w:tcPr>
            <w:tcW w:type="dxa" w:w="5177"/>
            <w:tcBorders>
              <w:bottom w:val="single" w:sz="4" w:space="0" w:color="DFE7E3"/>
            </w:tcBorders>
          </w:tcPr>
          <w:p>
            <w:r>
              <w:rPr>
                <w:b w:val="0"/>
                <w:i w:val="0"/>
                <w:color w:val="33403B"/>
                <w:sz w:val="18"/>
              </w:rPr>
              <w:t>Diagnostic &amp; RGPD</w:t>
            </w:r>
          </w:p>
        </w:tc>
        <w:tc>
          <w:tcPr>
            <w:tcW w:type="dxa" w:w="4235"/>
            <w:tcBorders>
              <w:bottom w:val="single" w:sz="4" w:space="0" w:color="DFE7E3"/>
            </w:tcBorders>
          </w:tcPr>
          <w:p>
            <w:pPr>
              <w:jc w:val="right"/>
            </w:pPr>
            <w:r>
              <w:rPr>
                <w:b w:val="0"/>
                <w:i w:val="0"/>
                <w:color w:val="33403B"/>
                <w:sz w:val="18"/>
              </w:rPr>
              <w:t>16 h</w:t>
            </w:r>
          </w:p>
        </w:tc>
      </w:tr>
      <w:tr>
        <w:tc>
          <w:tcPr>
            <w:tcW w:type="dxa" w:w="5177"/>
            <w:tcBorders>
              <w:bottom w:val="single" w:sz="4" w:space="0" w:color="DFE7E3"/>
            </w:tcBorders>
          </w:tcPr>
          <w:p>
            <w:r>
              <w:rPr>
                <w:b w:val="0"/>
                <w:i w:val="0"/>
                <w:color w:val="33403B"/>
                <w:sz w:val="18"/>
              </w:rPr>
              <w:t>Risques Tiers (TPRM)</w:t>
            </w:r>
          </w:p>
        </w:tc>
        <w:tc>
          <w:tcPr>
            <w:tcW w:type="dxa" w:w="4235"/>
            <w:tcBorders>
              <w:bottom w:val="single" w:sz="4" w:space="0" w:color="DFE7E3"/>
            </w:tcBorders>
          </w:tcPr>
          <w:p>
            <w:pPr>
              <w:jc w:val="right"/>
            </w:pPr>
            <w:r>
              <w:rPr>
                <w:b w:val="0"/>
                <w:i w:val="0"/>
                <w:color w:val="33403B"/>
                <w:sz w:val="18"/>
              </w:rPr>
              <w:t>7 h</w:t>
            </w:r>
          </w:p>
        </w:tc>
      </w:tr>
      <w:tr>
        <w:tc>
          <w:tcPr>
            <w:tcW w:type="dxa" w:w="5177"/>
            <w:tcBorders>
              <w:bottom w:val="single" w:sz="4" w:space="0" w:color="DFE7E3"/>
            </w:tcBorders>
          </w:tcPr>
          <w:p>
            <w:r>
              <w:rPr>
                <w:b w:val="0"/>
                <w:i w:val="0"/>
                <w:color w:val="33403B"/>
                <w:sz w:val="18"/>
              </w:rPr>
              <w:t>Analyse des Menaces (EBIOS RM)</w:t>
            </w:r>
          </w:p>
        </w:tc>
        <w:tc>
          <w:tcPr>
            <w:tcW w:type="dxa" w:w="4235"/>
            <w:tcBorders>
              <w:bottom w:val="single" w:sz="4" w:space="0" w:color="DFE7E3"/>
            </w:tcBorders>
          </w:tcPr>
          <w:p>
            <w:pPr>
              <w:jc w:val="right"/>
            </w:pPr>
            <w:r>
              <w:rPr>
                <w:b w:val="0"/>
                <w:i w:val="0"/>
                <w:color w:val="33403B"/>
                <w:sz w:val="18"/>
              </w:rPr>
              <w:t>19 h</w:t>
            </w:r>
          </w:p>
        </w:tc>
      </w:tr>
      <w:tr>
        <w:tc>
          <w:tcPr>
            <w:tcW w:type="dxa" w:w="5177"/>
            <w:tcBorders>
              <w:bottom w:val="single" w:sz="4" w:space="0" w:color="DFE7E3"/>
            </w:tcBorders>
          </w:tcPr>
          <w:p>
            <w:r>
              <w:rPr>
                <w:b w:val="0"/>
                <w:i w:val="0"/>
                <w:color w:val="33403B"/>
                <w:sz w:val="18"/>
              </w:rPr>
              <w:t>Résilience &amp; E3R</w:t>
            </w:r>
          </w:p>
        </w:tc>
        <w:tc>
          <w:tcPr>
            <w:tcW w:type="dxa" w:w="4235"/>
            <w:tcBorders>
              <w:bottom w:val="single" w:sz="4" w:space="0" w:color="DFE7E3"/>
            </w:tcBorders>
          </w:tcPr>
          <w:p>
            <w:pPr>
              <w:jc w:val="right"/>
            </w:pPr>
            <w:r>
              <w:rPr>
                <w:b w:val="0"/>
                <w:i w:val="0"/>
                <w:color w:val="33403B"/>
                <w:sz w:val="18"/>
              </w:rPr>
              <w:t>10 h</w:t>
            </w:r>
          </w:p>
        </w:tc>
      </w:tr>
      <w:tr>
        <w:tc>
          <w:tcPr>
            <w:tcW w:type="dxa" w:w="5177"/>
            <w:tcBorders>
              <w:bottom w:val="single" w:sz="4" w:space="0" w:color="DFE7E3"/>
            </w:tcBorders>
          </w:tcPr>
          <w:p>
            <w:r>
              <w:rPr>
                <w:b w:val="0"/>
                <w:i w:val="0"/>
                <w:color w:val="33403B"/>
                <w:sz w:val="18"/>
              </w:rPr>
              <w:t>Traitement &amp; Livrables</w:t>
            </w:r>
          </w:p>
        </w:tc>
        <w:tc>
          <w:tcPr>
            <w:tcW w:type="dxa" w:w="4235"/>
            <w:tcBorders>
              <w:bottom w:val="single" w:sz="4" w:space="0" w:color="DFE7E3"/>
            </w:tcBorders>
          </w:tcPr>
          <w:p>
            <w:pPr>
              <w:jc w:val="right"/>
            </w:pPr>
            <w:r>
              <w:rPr>
                <w:b w:val="0"/>
                <w:i w:val="0"/>
                <w:color w:val="33403B"/>
                <w:sz w:val="18"/>
              </w:rPr>
              <w:t>12 h</w:t>
            </w:r>
          </w:p>
        </w:tc>
      </w:tr>
      <w:tr>
        <w:tc>
          <w:tcPr>
            <w:tcW w:type="dxa" w:w="5177"/>
            <w:tcBorders>
              <w:bottom w:val="single" w:sz="4" w:space="0" w:color="DFE7E3"/>
            </w:tcBorders>
          </w:tcPr>
          <w:p>
            <w:r>
              <w:rPr>
                <w:b w:val="0"/>
                <w:i w:val="0"/>
                <w:color w:val="33403B"/>
                <w:sz w:val="18"/>
              </w:rPr>
              <w:t>Coordination, déplacements, rédaction</w:t>
            </w:r>
          </w:p>
        </w:tc>
        <w:tc>
          <w:tcPr>
            <w:tcW w:type="dxa" w:w="4235"/>
            <w:tcBorders>
              <w:bottom w:val="single" w:sz="4" w:space="0" w:color="DFE7E3"/>
            </w:tcBorders>
          </w:tcPr>
          <w:p>
            <w:pPr>
              <w:jc w:val="right"/>
            </w:pPr>
            <w:r>
              <w:rPr>
                <w:b w:val="0"/>
                <w:i w:val="0"/>
                <w:color w:val="33403B"/>
                <w:sz w:val="18"/>
              </w:rPr>
              <w:t>8 h</w:t>
            </w:r>
          </w:p>
        </w:tc>
      </w:tr>
      <w:tr>
        <w:tc>
          <w:tcPr>
            <w:tcW w:type="dxa" w:w="5177"/>
            <w:tcBorders>
              <w:bottom w:val="single" w:sz="4" w:space="0" w:color="DFE7E3"/>
            </w:tcBorders>
          </w:tcPr>
          <w:p>
            <w:r>
              <w:rPr>
                <w:b w:val="0"/>
                <w:i w:val="0"/>
                <w:color w:val="33403B"/>
                <w:sz w:val="18"/>
              </w:rPr>
              <w:t>Total</w:t>
            </w:r>
          </w:p>
        </w:tc>
        <w:tc>
          <w:tcPr>
            <w:tcW w:type="dxa" w:w="4235"/>
            <w:tcBorders>
              <w:bottom w:val="single" w:sz="4" w:space="0" w:color="DFE7E3"/>
            </w:tcBorders>
          </w:tcPr>
          <w:p>
            <w:pPr>
              <w:jc w:val="right"/>
            </w:pPr>
            <w:r>
              <w:rPr>
                <w:b w:val="0"/>
                <w:i w:val="0"/>
                <w:color w:val="33403B"/>
                <w:sz w:val="18"/>
              </w:rPr>
              <w:t>85 h</w:t>
            </w:r>
          </w:p>
        </w:tc>
      </w:tr>
    </w:tbl>
    <w:p/>
    <w:p>
      <w:r>
        <w:rPr>
          <w:b w:val="0"/>
          <w:i w:val="0"/>
          <w:color w:val="6B7F78"/>
          <w:sz w:val="18"/>
        </w:rPr>
        <w:t>Budget vendu : 18 jours</w:t>
      </w:r>
    </w:p>
    <w:p>
      <w:pPr>
        <w:spacing w:before="400" w:after="160"/>
        <w:pBdr>
          <w:bottom w:val="single" w:sz="16" w:space="4" w:color="2EE6A0"/>
        </w:pBdr>
      </w:pPr>
      <w:r>
        <w:rPr>
          <w:b/>
          <w:i w:val="0"/>
          <w:color w:val="2EE6A0"/>
          <w:sz w:val="28"/>
        </w:rPr>
        <w:t xml:space="preserve">13. </w:t>
      </w:r>
      <w:r>
        <w:rPr>
          <w:b/>
          <w:i w:val="0"/>
          <w:color w:val="0C2317"/>
          <w:sz w:val="28"/>
        </w:rPr>
        <w:t>Réserves et limites</w:t>
      </w:r>
    </w:p>
    <w:p>
      <w:r>
        <w:rPr>
          <w:b w:val="0"/>
          <w:i w:val="0"/>
          <w:color w:val="33403B"/>
          <w:sz w:val="19"/>
        </w:rPr>
        <w:t>Les constats figurant dans le présent rapport reposent exclusivement sur les éléments communiqués par Vernier Composites SAS et sur les preuves collectées à la date du 30/07/2026, dans le périmètre défini au chapitre 2. Les déclarations recueillies auprès des interlocuteurs n'ont fait l'objet d'une vérification technique que lorsque la colonne « Preuve » le mentionne explicitement. Le présent rapport constitue une évaluation à un instant donné et ne saurait valoir garantie d'absence de vulnérabilité ni de conformité future, le niveau de sécurité évoluant avec le système d'information et l'état de la menace.</w:t>
      </w:r>
    </w:p>
    <w:p>
      <w:pPr>
        <w:spacing w:before="400" w:after="160"/>
        <w:pBdr>
          <w:bottom w:val="single" w:sz="16" w:space="4" w:color="2EE6A0"/>
        </w:pBdr>
      </w:pPr>
      <w:r>
        <w:rPr>
          <w:b/>
          <w:i w:val="0"/>
          <w:color w:val="2EE6A0"/>
          <w:sz w:val="28"/>
        </w:rPr>
        <w:t xml:space="preserve">14. </w:t>
      </w:r>
      <w:r>
        <w:rPr>
          <w:b/>
          <w:i w:val="0"/>
          <w:color w:val="0C2317"/>
          <w:sz w:val="28"/>
        </w:rPr>
        <w:t>Certifications et signatures</w:t>
      </w:r>
    </w:p>
    <w:p>
      <w:r>
        <w:rPr>
          <w:b w:val="0"/>
          <w:i w:val="0"/>
          <w:color w:val="33403B"/>
          <w:sz w:val="19"/>
        </w:rPr>
        <w:t>L'auditeur certifie l'exactitude des constats factuels mentionnés dans le présent rapport.</w:t>
      </w:r>
    </w:p>
    <w:tbl>
      <w:tblPr>
        <w:tblW w:type="auto" w:w="0"/>
        <w:tblLayout w:type="fixed"/>
        <w:tblLook w:firstColumn="1" w:firstRow="1" w:lastColumn="0" w:lastRow="0" w:noHBand="0" w:noVBand="1" w:val="04A0"/>
      </w:tblPr>
      <w:tblGrid>
        <w:gridCol w:w="4706"/>
        <w:gridCol w:w="4706"/>
      </w:tblGrid>
      <w:tr>
        <w:tc>
          <w:tcPr>
            <w:tcW w:type="dxa" w:w="4706"/>
            <w:shd w:val="clear" w:color="auto" w:fill="F2FBF7"/>
          </w:tcPr>
          <w:p>
            <w:r>
              <w:rPr>
                <w:b/>
                <w:i w:val="0"/>
                <w:color w:val="0C2317"/>
                <w:sz w:val="16"/>
              </w:rPr>
              <w:t>Signature de l'auditeur</w:t>
            </w:r>
          </w:p>
        </w:tc>
        <w:tc>
          <w:tcPr>
            <w:tcW w:type="dxa" w:w="4706"/>
            <w:shd w:val="clear" w:color="auto" w:fill="F2FBF7"/>
          </w:tcPr>
          <w:p>
            <w:r>
              <w:rPr>
                <w:b/>
                <w:i w:val="0"/>
                <w:color w:val="0C2317"/>
                <w:sz w:val="16"/>
              </w:rPr>
              <w:t>Signature du client audité</w:t>
            </w:r>
          </w:p>
        </w:tc>
      </w:tr>
      <w:tr>
        <w:tc>
          <w:tcPr>
            <w:tcW w:type="dxa" w:w="4706"/>
          </w:tcPr>
          <w:p>
            <w:r>
              <w:rPr>
                <w:b/>
                <w:i w:val="0"/>
                <w:color w:val="33403B"/>
                <w:sz w:val="18"/>
              </w:rPr>
              <w:t>—</w:t>
            </w:r>
          </w:p>
          <w:p>
            <w:r>
              <w:rPr>
                <w:b w:val="0"/>
                <w:i w:val="0"/>
                <w:color w:val="6B7F78"/>
                <w:sz w:val="18"/>
              </w:rPr>
              <w:t>Cabinet non renseigné</w:t>
            </w:r>
          </w:p>
        </w:tc>
        <w:tc>
          <w:tcPr>
            <w:tcW w:type="dxa" w:w="4706"/>
          </w:tcPr>
          <w:p>
            <w:r>
              <w:rPr>
                <w:b/>
                <w:i w:val="0"/>
                <w:color w:val="33403B"/>
                <w:sz w:val="18"/>
              </w:rPr>
              <w:t>DSI / Responsable de la sécurité</w:t>
            </w:r>
          </w:p>
          <w:p>
            <w:r>
              <w:rPr>
                <w:b w:val="0"/>
                <w:i w:val="0"/>
                <w:color w:val="6B7F78"/>
                <w:sz w:val="18"/>
              </w:rPr>
              <w:t>Vernier Composites SAS</w:t>
            </w:r>
          </w:p>
        </w:tc>
      </w:tr>
    </w:tbl>
    <w:sectPr w:rsidR="00FC693F" w:rsidRPr="0006063C" w:rsidSect="00034616">
      <w:footerReference w:type="default" r:id="rId10"/>
      <w:pgSz w:w="11906" w:h="16838"/>
      <w:pgMar w:top="907"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33403B"/>
        <w:sz w:val="14"/>
      </w:rPr>
      <w:t>GREEN SHIELD — Cabinet non renseigné · Document confidentiel, ne pas diffuser sans autorisation écrite.</w:t>
    </w:r>
  </w:p>
  <w:p>
    <w:pPr>
      <w:jc w:val="center"/>
    </w:pPr>
    <w:r>
      <w:rPr>
        <w:b w:val="0"/>
        <w:i w:val="0"/>
        <w:color w:val="33403B"/>
        <w:sz w:val="13"/>
      </w:rPr>
      <w:t>Empreinte SHA-256 de l'état de la mission à l'édition : b74a86b53875b57c1a939c4a3399b4add2a26263c49b95e3f621b4069c7ebd63</w:t>
    </w:r>
  </w:p>
  <w:p>
    <w:pPr>
      <w:jc w:val="center"/>
    </w:pPr>
    <w:r>
      <w:rPr>
        <w:b w:val="0"/>
        <w:i/>
        <w:color w:val="33403B"/>
        <w:sz w:val="13"/>
      </w:rPr>
      <w:t>Toute modification ultérieure de la mission, même rétablie, produit une empreinte différente.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0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