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conformité &amp; GRC</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Méthode : </w:t>
            </w:r>
            <w:r>
              <w:rPr>
                <w:b/>
                <w:i w:val="0"/>
                <w:color w:val="EAF4F0"/>
                <w:sz w:val="17"/>
              </w:rPr>
              <w:t>ISO 27001 / DORA</w:t>
            </w:r>
            <w:r>
              <w:rPr>
                <w:color w:val="3E5A50"/>
              </w:rPr>
              <w:t xml:space="preserve">    ·    </w:t>
            </w:r>
            <w:r>
              <w:rPr>
                <w:b w:val="0"/>
                <w:i w:val="0"/>
                <w:color w:val="8FB3A8"/>
                <w:sz w:val="17"/>
              </w:rPr>
              <w:t xml:space="preserve">Référentiel : </w:t>
            </w:r>
            <w:r>
              <w:rPr>
                <w:b/>
                <w:i w:val="0"/>
                <w:color w:val="EAF4F0"/>
                <w:sz w:val="17"/>
              </w:rPr>
              <w:t>ISO/IEC 27001:2022</w:t>
            </w:r>
            <w:r>
              <w:rPr>
                <w:color w:val="3E5A50"/>
              </w:rPr>
              <w:t xml:space="preserve">    ·    </w:t>
            </w:r>
            <w:r>
              <w:rPr>
                <w:b w:val="0"/>
                <w:i w:val="0"/>
                <w:color w:val="8FB3A8"/>
                <w:sz w:val="17"/>
              </w:rPr>
              <w:t xml:space="preserve">Budget vendu : </w:t>
            </w:r>
            <w:r>
              <w:rPr>
                <w:b/>
                <w:i w:val="0"/>
                <w:color w:val="EAF4F0"/>
                <w:sz w:val="17"/>
              </w:rPr>
              <w:t>34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La banque présente une maturité de sécurité supérieure à la moyenne de son segment : gouvernance établie, journalisation centralisée, résilience testée. Deux écarts majeurs subsistent et exposent directement à un constat ACPR : la gestion des départs (14 comptes actifs de sortants) et l'inventaire des actifs (37 serveurs inconnus). Le registre DORA des prestataires est incomplet sur 3 des 4 prestataires critiques. Aucun de ces écarts n'est structurel : ils relèvent de processus à formaliser, pas d'investissements lourds.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Entrée en application de DORA et notification d'entité essentielle NIS2, doublées d'une revue ACPR annoncée pour le premier trimestre 2027.</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des Risques (rattachement direct au Directoire)</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34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Élevée sur la gouvernance et la résilience, hétérogène sur la gestion des accès et des actifs.</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RSSI, 2 analystes SOC, 1 correspondant conformité, DPO interne.</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2027-01-31 (revue ACPR)</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Banque de détail, services de paiement, fonctions critiques DORA, conformité ISO 27001 sur les 4 domaines audités.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Salle de marché, agences physiques, test d'intrusion applicatif (couvert par un marché distinct).</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6 phases sur 14 semaines, 8 jours sur site, comité de suivi mensuel avec le Directeur des Risques.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Comptes nominatifs en lecture seule sur le SIEM et l'annuaire, extraction des configurations fournie par la DSI, accès aux contrats prestataires via le service juridique.</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2026-05-11</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suivi mensuel présidé par le Directeur des Risques, remontée immédiate au Directoire de tout écart susceptible d'entraîner un constat ACPR.</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ISO 27001 avec écarts et preuves · Cartographie DORA des prestataires critiques · Plan de remédiation priorisé et daté · AIPD du scoring de crédit · Restitution au comité des risques</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des Risques (sponsor) · RSSI · DSI · DPO · Directeur des Paiements · Responsable Conformité</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des Risques</w:t>
            </w:r>
          </w:p>
        </w:tc>
        <w:tc>
          <w:tcPr>
            <w:tcW w:type="dxa" w:w="1629"/>
            <w:tcBorders>
              <w:bottom w:val="single" w:sz="4" w:space="0" w:color="DFE7E3"/>
            </w:tcBorders>
          </w:tcPr>
          <w:p>
            <w:r>
              <w:rPr>
                <w:b w:val="0"/>
                <w:i w:val="0"/>
                <w:color w:val="33403B"/>
                <w:sz w:val="18"/>
              </w:rPr>
              <w:t>2026-05-11</w:t>
            </w:r>
          </w:p>
        </w:tc>
        <w:tc>
          <w:tcPr>
            <w:tcW w:type="dxa" w:w="5430"/>
            <w:tcBorders>
              <w:bottom w:val="single" w:sz="4" w:space="0" w:color="DFE7E3"/>
            </w:tcBorders>
          </w:tcPr>
          <w:p>
            <w:r>
              <w:rPr>
                <w:b w:val="0"/>
                <w:i w:val="0"/>
                <w:color w:val="33403B"/>
                <w:sz w:val="18"/>
              </w:rPr>
              <w:t>Objectif : aucun constat majeur à la revue ACPR de 2027. Priorité donnée à ce qui est opposable devant le régulateur.</w:t>
            </w:r>
          </w:p>
        </w:tc>
      </w:tr>
      <w:tr>
        <w:tc>
          <w:tcPr>
            <w:tcW w:type="dxa" w:w="2353"/>
            <w:tcBorders>
              <w:bottom w:val="single" w:sz="4" w:space="0" w:color="DFE7E3"/>
            </w:tcBorders>
          </w:tcPr>
          <w:p>
            <w:r>
              <w:rPr>
                <w:b w:val="0"/>
                <w:i w:val="0"/>
                <w:color w:val="33403B"/>
                <w:sz w:val="18"/>
              </w:rPr>
              <w:t>RSSI</w:t>
            </w:r>
          </w:p>
        </w:tc>
        <w:tc>
          <w:tcPr>
            <w:tcW w:type="dxa" w:w="1629"/>
            <w:tcBorders>
              <w:bottom w:val="single" w:sz="4" w:space="0" w:color="DFE7E3"/>
            </w:tcBorders>
          </w:tcPr>
          <w:p>
            <w:r>
              <w:rPr>
                <w:b w:val="0"/>
                <w:i w:val="0"/>
                <w:color w:val="33403B"/>
                <w:sz w:val="18"/>
              </w:rPr>
              <w:t>2026-05-18</w:t>
            </w:r>
          </w:p>
        </w:tc>
        <w:tc>
          <w:tcPr>
            <w:tcW w:type="dxa" w:w="5430"/>
            <w:tcBorders>
              <w:bottom w:val="single" w:sz="4" w:space="0" w:color="DFE7E3"/>
            </w:tcBorders>
          </w:tcPr>
          <w:p>
            <w:r>
              <w:rPr>
                <w:b w:val="0"/>
                <w:i w:val="0"/>
                <w:color w:val="33403B"/>
                <w:sz w:val="18"/>
              </w:rPr>
              <w:t>Signale lui-même la faiblesse du processus de départ et l'écart d'inventaire. SIEM opérationnel mais aveugle sur les journaux applicatifs du core banking.</w:t>
            </w:r>
          </w:p>
        </w:tc>
      </w:tr>
      <w:tr>
        <w:tc>
          <w:tcPr>
            <w:tcW w:type="dxa" w:w="2353"/>
            <w:tcBorders>
              <w:bottom w:val="single" w:sz="4" w:space="0" w:color="DFE7E3"/>
            </w:tcBorders>
          </w:tcPr>
          <w:p>
            <w:r>
              <w:rPr>
                <w:b w:val="0"/>
                <w:i w:val="0"/>
                <w:color w:val="33403B"/>
                <w:sz w:val="18"/>
              </w:rPr>
              <w:t>Directeur des Paiements</w:t>
            </w:r>
          </w:p>
        </w:tc>
        <w:tc>
          <w:tcPr>
            <w:tcW w:type="dxa" w:w="1629"/>
            <w:tcBorders>
              <w:bottom w:val="single" w:sz="4" w:space="0" w:color="DFE7E3"/>
            </w:tcBorders>
          </w:tcPr>
          <w:p>
            <w:r>
              <w:rPr>
                <w:b w:val="0"/>
                <w:i w:val="0"/>
                <w:color w:val="33403B"/>
                <w:sz w:val="18"/>
              </w:rPr>
              <w:t>2026-05-26</w:t>
            </w:r>
          </w:p>
        </w:tc>
        <w:tc>
          <w:tcPr>
            <w:tcW w:type="dxa" w:w="5430"/>
            <w:tcBorders>
              <w:bottom w:val="single" w:sz="4" w:space="0" w:color="DFE7E3"/>
            </w:tcBorders>
          </w:tcPr>
          <w:p>
            <w:r>
              <w:rPr>
                <w:b w:val="0"/>
                <w:i w:val="0"/>
                <w:color w:val="33403B"/>
                <w:sz w:val="18"/>
              </w:rPr>
              <w:t>RTO de 2 h imposé par les règles STET, pas par un arbitrage interne. Bascule testée trimestriellement avec procès-verbal.</w:t>
            </w:r>
          </w:p>
        </w:tc>
      </w:tr>
      <w:tr>
        <w:tc>
          <w:tcPr>
            <w:tcW w:type="dxa" w:w="2353"/>
            <w:tcBorders>
              <w:bottom w:val="single" w:sz="4" w:space="0" w:color="DFE7E3"/>
            </w:tcBorders>
          </w:tcPr>
          <w:p>
            <w:r>
              <w:rPr>
                <w:b w:val="0"/>
                <w:i w:val="0"/>
                <w:color w:val="33403B"/>
                <w:sz w:val="18"/>
              </w:rPr>
              <w:t>DPO</w:t>
            </w:r>
          </w:p>
        </w:tc>
        <w:tc>
          <w:tcPr>
            <w:tcW w:type="dxa" w:w="1629"/>
            <w:tcBorders>
              <w:bottom w:val="single" w:sz="4" w:space="0" w:color="DFE7E3"/>
            </w:tcBorders>
          </w:tcPr>
          <w:p>
            <w:r>
              <w:rPr>
                <w:b w:val="0"/>
                <w:i w:val="0"/>
                <w:color w:val="33403B"/>
                <w:sz w:val="18"/>
              </w:rPr>
              <w:t>2026-06-02</w:t>
            </w:r>
          </w:p>
        </w:tc>
        <w:tc>
          <w:tcPr>
            <w:tcW w:type="dxa" w:w="5430"/>
            <w:tcBorders>
              <w:bottom w:val="single" w:sz="4" w:space="0" w:color="DFE7E3"/>
            </w:tcBorders>
          </w:tcPr>
          <w:p>
            <w:r>
              <w:rPr>
                <w:b w:val="0"/>
                <w:i w:val="0"/>
                <w:color w:val="33403B"/>
                <w:sz w:val="18"/>
              </w:rPr>
              <w:t>Avis réservé sur le scoring de crédit ; consultation CNIL déposée, mise en production suspendue jusqu'à réponse.</w:t>
            </w:r>
          </w:p>
        </w:tc>
      </w:tr>
      <w:tr>
        <w:tc>
          <w:tcPr>
            <w:tcW w:type="dxa" w:w="2353"/>
            <w:tcBorders>
              <w:bottom w:val="single" w:sz="4" w:space="0" w:color="DFE7E3"/>
            </w:tcBorders>
          </w:tcPr>
          <w:p>
            <w:r>
              <w:rPr>
                <w:b w:val="0"/>
                <w:i w:val="0"/>
                <w:color w:val="33403B"/>
                <w:sz w:val="18"/>
              </w:rPr>
              <w:t>Responsable Conformité</w:t>
            </w:r>
          </w:p>
        </w:tc>
        <w:tc>
          <w:tcPr>
            <w:tcW w:type="dxa" w:w="1629"/>
            <w:tcBorders>
              <w:bottom w:val="single" w:sz="4" w:space="0" w:color="DFE7E3"/>
            </w:tcBorders>
          </w:tcPr>
          <w:p>
            <w:r>
              <w:rPr>
                <w:b w:val="0"/>
                <w:i w:val="0"/>
                <w:color w:val="33403B"/>
                <w:sz w:val="18"/>
              </w:rPr>
              <w:t>2026-06-09</w:t>
            </w:r>
          </w:p>
        </w:tc>
        <w:tc>
          <w:tcPr>
            <w:tcW w:type="dxa" w:w="5430"/>
            <w:tcBorders>
              <w:bottom w:val="single" w:sz="4" w:space="0" w:color="DFE7E3"/>
            </w:tcBorders>
          </w:tcPr>
          <w:p>
            <w:r>
              <w:rPr>
                <w:b w:val="0"/>
                <w:i w:val="0"/>
                <w:color w:val="33403B"/>
                <w:sz w:val="18"/>
              </w:rPr>
              <w:t>Registre d'information DORA renseigné pour 1 prestataire critique sur 4. Stratégies de sortie non documentées.</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Comptes et soldes clients</w:t>
            </w:r>
          </w:p>
        </w:tc>
        <w:tc>
          <w:tcPr>
            <w:tcW w:type="dxa" w:w="4278"/>
            <w:tcBorders>
              <w:bottom w:val="single" w:sz="4" w:space="0" w:color="DFE7E3"/>
            </w:tcBorders>
          </w:tcPr>
          <w:p>
            <w:r>
              <w:rPr>
                <w:b w:val="0"/>
                <w:i w:val="0"/>
                <w:color w:val="33403B"/>
                <w:sz w:val="18"/>
              </w:rPr>
              <w:t>Registre des positions clients, cœur du système bancaire.</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Service de paiement instantané (SCT Inst)</w:t>
            </w:r>
          </w:p>
        </w:tc>
        <w:tc>
          <w:tcPr>
            <w:tcW w:type="dxa" w:w="4278"/>
            <w:tcBorders>
              <w:bottom w:val="single" w:sz="4" w:space="0" w:color="DFE7E3"/>
            </w:tcBorders>
          </w:tcPr>
          <w:p>
            <w:r>
              <w:rPr>
                <w:b w:val="0"/>
                <w:i w:val="0"/>
                <w:color w:val="33403B"/>
                <w:sz w:val="18"/>
              </w:rPr>
              <w:t>Fonction critique au sens DORA — indisponibilité immédiatement visible du client.</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Dossiers de crédit et scoring</w:t>
            </w:r>
          </w:p>
        </w:tc>
        <w:tc>
          <w:tcPr>
            <w:tcW w:type="dxa" w:w="4278"/>
            <w:tcBorders>
              <w:bottom w:val="single" w:sz="4" w:space="0" w:color="DFE7E3"/>
            </w:tcBorders>
          </w:tcPr>
          <w:p>
            <w:r>
              <w:rPr>
                <w:b w:val="0"/>
                <w:i w:val="0"/>
                <w:color w:val="33403B"/>
                <w:sz w:val="18"/>
              </w:rPr>
              <w:t>Décisions automatisées avec effet juridique (RGPD Art. 22).</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Piste d'audit réglementaire</w:t>
            </w:r>
          </w:p>
        </w:tc>
        <w:tc>
          <w:tcPr>
            <w:tcW w:type="dxa" w:w="4278"/>
            <w:tcBorders>
              <w:bottom w:val="single" w:sz="4" w:space="0" w:color="DFE7E3"/>
            </w:tcBorders>
          </w:tcPr>
          <w:p>
            <w:r>
              <w:rPr>
                <w:b w:val="0"/>
                <w:i w:val="0"/>
                <w:color w:val="33403B"/>
                <w:sz w:val="18"/>
              </w:rPr>
              <w:t>Traçabilité exigée par l'ACPR, intégrité opposable.</w:t>
            </w:r>
          </w:p>
        </w:tc>
        <w:tc>
          <w:tcPr>
            <w:tcW w:type="dxa" w:w="1854"/>
            <w:tcBorders>
              <w:bottom w:val="single" w:sz="4" w:space="0" w:color="DFE7E3"/>
            </w:tcBorders>
          </w:tcPr>
          <w:p>
            <w:r>
              <w:rPr>
                <w:b w:val="0"/>
                <w:i w:val="0"/>
                <w:color w:val="33403B"/>
                <w:sz w:val="18"/>
              </w:rPr>
              <w:t>Oui</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Core banking system (éditeur externe)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Progiciel hébergé chez l'éditeur, version N-1.</w:t>
            </w:r>
          </w:p>
        </w:tc>
        <w:tc>
          <w:tcPr>
            <w:tcW w:type="dxa" w:w="1805"/>
            <w:tcBorders>
              <w:bottom w:val="single" w:sz="4" w:space="0" w:color="DFE7E3"/>
            </w:tcBorders>
          </w:tcPr>
          <w:p>
            <w:r>
              <w:rPr>
                <w:b w:val="0"/>
                <w:i w:val="0"/>
                <w:color w:val="33403B"/>
                <w:sz w:val="18"/>
              </w:rPr>
              <w:t>DSI</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Plateforme de paiement SCT Inst</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Interconnexion STET, disponibilité 24/7 exigée.</w:t>
            </w:r>
          </w:p>
        </w:tc>
        <w:tc>
          <w:tcPr>
            <w:tcW w:type="dxa" w:w="1805"/>
            <w:tcBorders>
              <w:bottom w:val="single" w:sz="4" w:space="0" w:color="DFE7E3"/>
            </w:tcBorders>
          </w:tcPr>
          <w:p>
            <w:r>
              <w:rPr>
                <w:b w:val="0"/>
                <w:i w:val="0"/>
                <w:color w:val="33403B"/>
                <w:sz w:val="18"/>
              </w:rPr>
              <w:t>Directeur des Paiements</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Datacenter principal et site de repli</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Deux sites actifs/passifs distants de 40 km.</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SIEM et collecte de journaux</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Collecte 380 sources, rétention 12 mois.</w:t>
            </w:r>
          </w:p>
        </w:tc>
        <w:tc>
          <w:tcPr>
            <w:tcW w:type="dxa" w:w="1805"/>
            <w:tcBorders>
              <w:bottom w:val="single" w:sz="4" w:space="0" w:color="DFE7E3"/>
            </w:tcBorders>
          </w:tcPr>
          <w:p>
            <w:r>
              <w:rPr>
                <w:b w:val="0"/>
                <w:i w:val="0"/>
                <w:color w:val="33403B"/>
                <w:sz w:val="18"/>
              </w:rPr>
              <w:t>RSSI</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Poste de travail et messagerie (M365)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640 postes, MFA généralisé, EDR déployé.</w:t>
            </w:r>
          </w:p>
        </w:tc>
        <w:tc>
          <w:tcPr>
            <w:tcW w:type="dxa" w:w="1805"/>
            <w:tcBorders>
              <w:bottom w:val="single" w:sz="4" w:space="0" w:color="DFE7E3"/>
            </w:tcBorders>
          </w:tcPr>
          <w:p>
            <w:r>
              <w:rPr>
                <w:b w:val="0"/>
                <w:i w:val="0"/>
                <w:color w:val="33403B"/>
                <w:sz w:val="18"/>
              </w:rPr>
              <w:t>DSI</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Retrait de la variable code postal et des 4 variables les plus corrélées, test de disparité annuel sur cohortes, motivation systématique du refus en langage clair, droit à l'intervention humaine sous 15 jours, journalisation des décisions pendant 5 ans.</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Indisponibilité prolongée du paiement instantané</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Fonction critique DORA interrompue, notification ACPR sous 4 h, atteinte de réputation immédiate.</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Altération de l'intégrité des soldes clients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de confiance systémique, reconstitution manuelle, risque prudentiel.</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Fuite du fichier clients (210 000 personnes)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Notification CNIL sous 72 h et information individuelle, sanction possible, action de groupe.</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criminel spécialisé secteur financier</w:t>
            </w:r>
          </w:p>
        </w:tc>
        <w:tc>
          <w:tcPr>
            <w:tcW w:type="dxa" w:w="4005"/>
            <w:tcBorders>
              <w:bottom w:val="single" w:sz="4" w:space="0" w:color="DFE7E3"/>
            </w:tcBorders>
          </w:tcPr>
          <w:p>
            <w:r>
              <w:rPr>
                <w:b w:val="0"/>
                <w:i w:val="0"/>
                <w:color w:val="33403B"/>
                <w:sz w:val="18"/>
              </w:rPr>
              <w:t>Fraude au virement et extorsion.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Compromission de la chaîne d'approvisionnement (éditeur core banking)</w:t>
            </w:r>
          </w:p>
        </w:tc>
        <w:tc>
          <w:tcPr>
            <w:tcW w:type="dxa" w:w="4005"/>
            <w:tcBorders>
              <w:bottom w:val="single" w:sz="4" w:space="0" w:color="DFE7E3"/>
            </w:tcBorders>
          </w:tcPr>
          <w:p>
            <w:r>
              <w:rPr>
                <w:b w:val="0"/>
                <w:i w:val="0"/>
                <w:color w:val="33403B"/>
                <w:sz w:val="18"/>
              </w:rPr>
              <w:t>Accès indirect au SI bancaire via une mise à jour piégée.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Mise à jour piégée du core banking (BS-01) livrée par l'éditeur → exécution en production → accès aux comptes clients (VM-01) et altération des soldes.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Vérification d'intégrité des livraisons éditeur, environnement de pré-production isolé, revue de code des correctifs critiques.</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Saturation volumétrique de la plateforme SCT Inst (BS-02) via l'interconnexion STET → indisponibilité de la fonction critique DORA.</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Limitation de débit en amont, bascule sur le site de repli testée trimestriellement, procédure de dégradation maîtrisée.</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Directeur des Paiements</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Incident SolarWinds (2020)</w:t>
            </w:r>
          </w:p>
        </w:tc>
        <w:tc>
          <w:tcPr>
            <w:tcW w:type="dxa" w:w="6400"/>
            <w:tcBorders>
              <w:bottom w:val="single" w:sz="4" w:space="0" w:color="DFE7E3"/>
            </w:tcBorders>
          </w:tcPr>
          <w:p>
            <w:r>
              <w:rPr>
                <w:b w:val="0"/>
                <w:i w:val="0"/>
                <w:color w:val="33403B"/>
                <w:sz w:val="18"/>
              </w:rPr>
              <w:t>La chaîne d'approvisionnement logicielle est un vecteur d'entrée légitime et signé — d'où l'exigence DORA de registre des prestataires.</w:t>
            </w:r>
          </w:p>
        </w:tc>
      </w:tr>
      <w:tr>
        <w:tc>
          <w:tcPr>
            <w:tcW w:type="dxa" w:w="3012"/>
            <w:tcBorders>
              <w:bottom w:val="single" w:sz="4" w:space="0" w:color="DFE7E3"/>
            </w:tcBorders>
          </w:tcPr>
          <w:p>
            <w:r>
              <w:rPr>
                <w:b w:val="0"/>
                <w:i w:val="0"/>
                <w:color w:val="33403B"/>
                <w:sz w:val="18"/>
              </w:rPr>
              <w:t>Panne TSB (2018) — migration bancaire</w:t>
            </w:r>
          </w:p>
        </w:tc>
        <w:tc>
          <w:tcPr>
            <w:tcW w:type="dxa" w:w="6400"/>
            <w:tcBorders>
              <w:bottom w:val="single" w:sz="4" w:space="0" w:color="DFE7E3"/>
            </w:tcBorders>
          </w:tcPr>
          <w:p>
            <w:r>
              <w:rPr>
                <w:b w:val="0"/>
                <w:i w:val="0"/>
                <w:color w:val="33403B"/>
                <w:sz w:val="18"/>
              </w:rPr>
              <w:t>Une bascule mal testée coûte plus cher qu'une attaque : le test de bascule est une exigence, pas une bonne pratique.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Ce volet ne produit aucun score de risque : ni DORA ni NIS2 ne se réclament d'EBIOS RM. La conformité se démontre par des preuves.</w:t>
      </w:r>
    </w:p>
    <w:tbl>
      <w:tblPr>
        <w:tblW w:type="auto" w:w="0"/>
        <w:jc w:val="left"/>
        <w:tblLayout w:type="fixed"/>
        <w:tblLook w:firstColumn="1" w:firstRow="1" w:lastColumn="0" w:lastRow="0" w:noHBand="0" w:noVBand="1" w:val="04A0"/>
      </w:tblPr>
      <w:tblGrid>
        <w:gridCol w:w="3080"/>
        <w:gridCol w:w="2567"/>
        <w:gridCol w:w="3765"/>
      </w:tblGrid>
      <w:tr>
        <w:tc>
          <w:tcPr>
            <w:tcW w:type="dxa" w:w="3080"/>
            <w:shd w:val="clear" w:color="auto" w:fill="F2FBF7"/>
            <w:tcBorders>
              <w:bottom w:val="single" w:sz="6" w:space="0" w:color="C9DBD3"/>
            </w:tcBorders>
          </w:tcPr>
          <w:p>
            <w:r>
              <w:rPr>
                <w:b/>
                <w:i w:val="0"/>
                <w:color w:val="0C2317"/>
                <w:sz w:val="16"/>
              </w:rPr>
              <w:t>Prestataire</w:t>
            </w:r>
          </w:p>
        </w:tc>
        <w:tc>
          <w:tcPr>
            <w:tcW w:type="dxa" w:w="2567"/>
            <w:shd w:val="clear" w:color="auto" w:fill="F2FBF7"/>
            <w:tcBorders>
              <w:bottom w:val="single" w:sz="6" w:space="0" w:color="C9DBD3"/>
            </w:tcBorders>
          </w:tcPr>
          <w:p>
            <w:pPr>
              <w:jc w:val="right"/>
            </w:pPr>
            <w:r>
              <w:rPr>
                <w:b/>
                <w:i w:val="0"/>
                <w:color w:val="0C2317"/>
                <w:sz w:val="16"/>
              </w:rPr>
              <w:t>Exigences satisfaites</w:t>
            </w:r>
          </w:p>
        </w:tc>
        <w:tc>
          <w:tcPr>
            <w:tcW w:type="dxa" w:w="3765"/>
            <w:shd w:val="clear" w:color="auto" w:fill="F2FBF7"/>
            <w:tcBorders>
              <w:bottom w:val="single" w:sz="6" w:space="0" w:color="C9DBD3"/>
            </w:tcBorders>
          </w:tcPr>
          <w:p>
            <w:r>
              <w:rPr>
                <w:b/>
                <w:i w:val="0"/>
                <w:color w:val="0C2317"/>
                <w:sz w:val="16"/>
              </w:rPr>
              <w:t>Écarts restants</w:t>
            </w:r>
          </w:p>
        </w:tc>
      </w:tr>
      <w:tr>
        <w:tc>
          <w:tcPr>
            <w:tcW w:type="dxa" w:w="3080"/>
            <w:tcBorders>
              <w:bottom w:val="single" w:sz="4" w:space="0" w:color="DFE7E3"/>
            </w:tcBorders>
          </w:tcPr>
          <w:p>
            <w:r>
              <w:rPr>
                <w:b w:val="0"/>
                <w:i w:val="0"/>
                <w:color w:val="33403B"/>
                <w:sz w:val="18"/>
              </w:rPr>
              <w:t>Éditeur core banking (prestataire critique)</w:t>
            </w:r>
          </w:p>
        </w:tc>
        <w:tc>
          <w:tcPr>
            <w:tcW w:type="dxa" w:w="2567"/>
            <w:tcBorders>
              <w:bottom w:val="single" w:sz="4" w:space="0" w:color="DFE7E3"/>
            </w:tcBorders>
          </w:tcPr>
          <w:p>
            <w:pPr>
              <w:jc w:val="right"/>
            </w:pPr>
            <w:r>
              <w:rPr>
                <w:b w:val="0"/>
                <w:i w:val="0"/>
                <w:color w:val="33403B"/>
                <w:sz w:val="18"/>
              </w:rPr>
              <w:t>2/4 (50 %)</w:t>
            </w:r>
          </w:p>
        </w:tc>
        <w:tc>
          <w:tcPr>
            <w:tcW w:type="dxa" w:w="3765"/>
            <w:tcBorders>
              <w:bottom w:val="single" w:sz="4" w:space="0" w:color="DFE7E3"/>
            </w:tcBorders>
          </w:tcPr>
          <w:p>
            <w:r>
              <w:rPr>
                <w:b w:val="0"/>
                <w:i w:val="0"/>
                <w:color w:val="33403B"/>
                <w:sz w:val="18"/>
              </w:rPr>
              <w:t>Clauses contractuelles obligatoires signées (DORA Art. 30) ; Stratégie de sortie documentée et testable</w:t>
            </w:r>
          </w:p>
        </w:tc>
      </w:tr>
      <w:tr>
        <w:tc>
          <w:tcPr>
            <w:tcW w:type="dxa" w:w="3080"/>
            <w:tcBorders>
              <w:bottom w:val="single" w:sz="4" w:space="0" w:color="DFE7E3"/>
            </w:tcBorders>
          </w:tcPr>
          <w:p>
            <w:r>
              <w:rPr>
                <w:b w:val="0"/>
                <w:i w:val="0"/>
                <w:color w:val="33403B"/>
                <w:sz w:val="18"/>
              </w:rPr>
              <w:t>Opérateur d'interconnexion STET</w:t>
            </w:r>
          </w:p>
        </w:tc>
        <w:tc>
          <w:tcPr>
            <w:tcW w:type="dxa" w:w="2567"/>
            <w:tcBorders>
              <w:bottom w:val="single" w:sz="4" w:space="0" w:color="DFE7E3"/>
            </w:tcBorders>
          </w:tcPr>
          <w:p>
            <w:pPr>
              <w:jc w:val="right"/>
            </w:pPr>
            <w:r>
              <w:rPr>
                <w:b w:val="0"/>
                <w:i w:val="0"/>
                <w:color w:val="33403B"/>
                <w:sz w:val="18"/>
              </w:rPr>
              <w:t>4/4 (100 %)</w:t>
            </w:r>
          </w:p>
        </w:tc>
        <w:tc>
          <w:tcPr>
            <w:tcW w:type="dxa" w:w="3765"/>
            <w:tcBorders>
              <w:bottom w:val="single" w:sz="4" w:space="0" w:color="DFE7E3"/>
            </w:tcBorders>
          </w:tcPr>
          <w:p>
            <w:r>
              <w:rPr>
                <w:b w:val="0"/>
                <w:i w:val="0"/>
                <w:color w:val="33403B"/>
                <w:sz w:val="18"/>
              </w:rPr>
              <w:t>Conforme</w:t>
            </w:r>
          </w:p>
        </w:tc>
      </w:tr>
      <w:tr>
        <w:tc>
          <w:tcPr>
            <w:tcW w:type="dxa" w:w="3080"/>
            <w:tcBorders>
              <w:bottom w:val="single" w:sz="4" w:space="0" w:color="DFE7E3"/>
            </w:tcBorders>
          </w:tcPr>
          <w:p>
            <w:r>
              <w:rPr>
                <w:b w:val="0"/>
                <w:i w:val="0"/>
                <w:color w:val="33403B"/>
                <w:sz w:val="18"/>
              </w:rPr>
              <w:t>Hébergeur du site de repli</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r>
        <w:tc>
          <w:tcPr>
            <w:tcW w:type="dxa" w:w="3080"/>
            <w:tcBorders>
              <w:bottom w:val="single" w:sz="4" w:space="0" w:color="DFE7E3"/>
            </w:tcBorders>
          </w:tcPr>
          <w:p>
            <w:r>
              <w:rPr>
                <w:b w:val="0"/>
                <w:i w:val="0"/>
                <w:color w:val="33403B"/>
                <w:sz w:val="18"/>
              </w:rPr>
              <w:t>Prestataire d'infogérance poste de travail</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 heures pour le paiement instantané (fonction critique DORA), 8 heures pour la banque en ligne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15 minutes pour les opérations de paiement, 1 heure pour les référentiels clients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Réplication synchrone entre les deux datacenters, sauvegarde immuable quotidienne conservée 35 jours hors site, test de bascule complet trimestriel avec procès-verbal transmis à l'ACPR.</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de la zone compromise par bascule sur le site de repli, gel des livraisons éditeur, activation de la cellule de crise avec astreinte RSSI sous 30 minutes.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Révocation des certificats et jetons d'interconnexion, réinitialisation des comptes à privilèges et des comptes de service, rupture temporaire du lien avec l'éditeur.</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forensique des binaires livrés, comparaison aux empreintes de référence, reconstruction des serveurs concernés depuis un socle durci vérifié.</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Remise en service progressive avec vérification d'intégrité comptable poste par poste, réconciliation des opérations sur la période suspecte, notification ACPR de clôture d'incident et retour d'expérience sous 30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tbl>
      <w:tblPr>
        <w:tblW w:type="auto" w:w="0"/>
        <w:jc w:val="left"/>
        <w:tblLayout w:type="fixed"/>
        <w:tblLook w:firstColumn="1" w:firstRow="1" w:lastColumn="0" w:lastRow="0" w:noHBand="0" w:noVBand="1" w:val="04A0"/>
      </w:tblPr>
      <w:tblGrid>
        <w:gridCol w:w="1014"/>
        <w:gridCol w:w="2896"/>
        <w:gridCol w:w="1448"/>
        <w:gridCol w:w="4054"/>
      </w:tblGrid>
      <w:tr>
        <w:tc>
          <w:tcPr>
            <w:tcW w:type="dxa" w:w="1014"/>
            <w:shd w:val="clear" w:color="auto" w:fill="F2FBF7"/>
            <w:tcBorders>
              <w:bottom w:val="single" w:sz="6" w:space="0" w:color="C9DBD3"/>
            </w:tcBorders>
          </w:tcPr>
          <w:p>
            <w:r>
              <w:rPr>
                <w:b/>
                <w:i w:val="0"/>
                <w:color w:val="0C2317"/>
                <w:sz w:val="16"/>
              </w:rPr>
              <w:t>ID</w:t>
            </w:r>
          </w:p>
        </w:tc>
        <w:tc>
          <w:tcPr>
            <w:tcW w:type="dxa" w:w="2896"/>
            <w:shd w:val="clear" w:color="auto" w:fill="F2FBF7"/>
            <w:tcBorders>
              <w:bottom w:val="single" w:sz="6" w:space="0" w:color="C9DBD3"/>
            </w:tcBorders>
          </w:tcPr>
          <w:p>
            <w:r>
              <w:rPr>
                <w:b/>
                <w:i w:val="0"/>
                <w:color w:val="0C2317"/>
                <w:sz w:val="16"/>
              </w:rPr>
              <w:t>Exigence organisationnelle</w:t>
            </w:r>
          </w:p>
        </w:tc>
        <w:tc>
          <w:tcPr>
            <w:tcW w:type="dxa" w:w="1448"/>
            <w:shd w:val="clear" w:color="auto" w:fill="F2FBF7"/>
            <w:tcBorders>
              <w:bottom w:val="single" w:sz="6" w:space="0" w:color="C9DBD3"/>
            </w:tcBorders>
          </w:tcPr>
          <w:p>
            <w:r>
              <w:rPr>
                <w:b/>
                <w:i w:val="0"/>
                <w:color w:val="0C2317"/>
                <w:sz w:val="16"/>
              </w:rPr>
              <w:t>Statut</w:t>
            </w:r>
          </w:p>
        </w:tc>
        <w:tc>
          <w:tcPr>
            <w:tcW w:type="dxa" w:w="4054"/>
            <w:shd w:val="clear" w:color="auto" w:fill="F2FBF7"/>
            <w:tcBorders>
              <w:bottom w:val="single" w:sz="6" w:space="0" w:color="C9DBD3"/>
            </w:tcBorders>
          </w:tcPr>
          <w:p>
            <w:r>
              <w:rPr>
                <w:b/>
                <w:i w:val="0"/>
                <w:color w:val="0C2317"/>
                <w:sz w:val="16"/>
              </w:rPr>
              <w:t>Constat et preuve</w:t>
            </w:r>
          </w:p>
        </w:tc>
      </w:tr>
      <w:tr>
        <w:tc>
          <w:tcPr>
            <w:tcW w:type="dxa" w:w="1014"/>
            <w:tcBorders>
              <w:bottom w:val="single" w:sz="4" w:space="0" w:color="DFE7E3"/>
            </w:tcBorders>
          </w:tcPr>
          <w:p>
            <w:r>
              <w:rPr>
                <w:b w:val="0"/>
                <w:i w:val="0"/>
                <w:color w:val="33403B"/>
                <w:sz w:val="18"/>
              </w:rPr>
              <w:t>ISO-A.5</w:t>
            </w:r>
          </w:p>
        </w:tc>
        <w:tc>
          <w:tcPr>
            <w:tcW w:type="dxa" w:w="2896"/>
            <w:tcBorders>
              <w:bottom w:val="single" w:sz="4" w:space="0" w:color="DFE7E3"/>
            </w:tcBorders>
          </w:tcPr>
          <w:p>
            <w:r>
              <w:rPr>
                <w:b w:val="0"/>
                <w:i w:val="0"/>
                <w:color w:val="33403B"/>
                <w:sz w:val="18"/>
              </w:rPr>
              <w:t>Politiques de sécurité de l'information</w:t>
            </w:r>
          </w:p>
        </w:tc>
        <w:tc>
          <w:tcPr>
            <w:tcW w:type="dxa" w:w="1448"/>
            <w:tcBorders>
              <w:bottom w:val="single" w:sz="4" w:space="0" w:color="DFE7E3"/>
            </w:tcBorders>
            <w:shd w:val="clear" w:color="auto" w:fill="E6F8F0"/>
          </w:tcPr>
          <w:p>
            <w:r>
              <w:rPr>
                <w:b/>
                <w:i w:val="0"/>
                <w:color w:val="12694A"/>
                <w:sz w:val="17"/>
              </w:rPr>
              <w:t>Conforme</w:t>
            </w:r>
          </w:p>
        </w:tc>
        <w:tc>
          <w:tcPr>
            <w:tcW w:type="dxa" w:w="4054"/>
            <w:tcBorders>
              <w:bottom w:val="single" w:sz="4" w:space="0" w:color="DFE7E3"/>
            </w:tcBorders>
          </w:tcPr>
          <w:p>
            <w:r>
              <w:rPr>
                <w:b w:val="0"/>
                <w:i w:val="0"/>
                <w:color w:val="33403B"/>
                <w:sz w:val="18"/>
              </w:rPr>
              <w:t>PSSI validée par le comité exécutif le 14/02/2026, revue annuelle planifiée.</w:t>
            </w:r>
          </w:p>
        </w:tc>
      </w:tr>
      <w:tr>
        <w:tc>
          <w:tcPr>
            <w:tcW w:type="dxa" w:w="1014"/>
            <w:tcBorders>
              <w:bottom w:val="single" w:sz="4" w:space="0" w:color="DFE7E3"/>
            </w:tcBorders>
          </w:tcPr>
          <w:p>
            <w:r>
              <w:rPr>
                <w:b w:val="0"/>
                <w:i w:val="0"/>
                <w:color w:val="33403B"/>
                <w:sz w:val="18"/>
              </w:rPr>
              <w:t>ISO-A.6</w:t>
            </w:r>
          </w:p>
        </w:tc>
        <w:tc>
          <w:tcPr>
            <w:tcW w:type="dxa" w:w="2896"/>
            <w:tcBorders>
              <w:bottom w:val="single" w:sz="4" w:space="0" w:color="DFE7E3"/>
            </w:tcBorders>
          </w:tcPr>
          <w:p>
            <w:r>
              <w:rPr>
                <w:b w:val="0"/>
                <w:i w:val="0"/>
                <w:color w:val="33403B"/>
                <w:sz w:val="18"/>
              </w:rPr>
              <w:t>Organisation et rôles de sécurité</w:t>
            </w:r>
          </w:p>
        </w:tc>
        <w:tc>
          <w:tcPr>
            <w:tcW w:type="dxa" w:w="1448"/>
            <w:tcBorders>
              <w:bottom w:val="single" w:sz="4" w:space="0" w:color="DFE7E3"/>
            </w:tcBorders>
            <w:shd w:val="clear" w:color="auto" w:fill="E6F8F0"/>
          </w:tcPr>
          <w:p>
            <w:r>
              <w:rPr>
                <w:b/>
                <w:i w:val="0"/>
                <w:color w:val="12694A"/>
                <w:sz w:val="17"/>
              </w:rPr>
              <w:t>Conforme</w:t>
            </w:r>
          </w:p>
        </w:tc>
        <w:tc>
          <w:tcPr>
            <w:tcW w:type="dxa" w:w="4054"/>
            <w:tcBorders>
              <w:bottom w:val="single" w:sz="4" w:space="0" w:color="DFE7E3"/>
            </w:tcBorders>
          </w:tcPr>
          <w:p>
            <w:r>
              <w:rPr>
                <w:b w:val="0"/>
                <w:i w:val="0"/>
                <w:color w:val="33403B"/>
                <w:sz w:val="18"/>
              </w:rPr>
              <w:t>RSSI rattaché au Directeur des Risques, séparation effective d'avec la DSI.</w:t>
            </w:r>
          </w:p>
        </w:tc>
      </w:tr>
      <w:tr>
        <w:tc>
          <w:tcPr>
            <w:tcW w:type="dxa" w:w="1014"/>
            <w:tcBorders>
              <w:bottom w:val="single" w:sz="4" w:space="0" w:color="DFE7E3"/>
            </w:tcBorders>
          </w:tcPr>
          <w:p>
            <w:r>
              <w:rPr>
                <w:b w:val="0"/>
                <w:i w:val="0"/>
                <w:color w:val="33403B"/>
                <w:sz w:val="18"/>
              </w:rPr>
              <w:t>ISO-A.7</w:t>
            </w:r>
          </w:p>
        </w:tc>
        <w:tc>
          <w:tcPr>
            <w:tcW w:type="dxa" w:w="2896"/>
            <w:tcBorders>
              <w:bottom w:val="single" w:sz="4" w:space="0" w:color="DFE7E3"/>
            </w:tcBorders>
          </w:tcPr>
          <w:p>
            <w:r>
              <w:rPr>
                <w:b w:val="0"/>
                <w:i w:val="0"/>
                <w:color w:val="33403B"/>
                <w:sz w:val="18"/>
              </w:rPr>
              <w:t>Sécurité des ressources humaines</w:t>
            </w:r>
          </w:p>
        </w:tc>
        <w:tc>
          <w:tcPr>
            <w:tcW w:type="dxa" w:w="1448"/>
            <w:tcBorders>
              <w:bottom w:val="single" w:sz="4" w:space="0" w:color="DFE7E3"/>
            </w:tcBorders>
            <w:shd w:val="clear" w:color="auto" w:fill="FDEAED"/>
          </w:tcPr>
          <w:p>
            <w:r>
              <w:rPr>
                <w:b/>
                <w:i w:val="0"/>
                <w:color w:val="A3243C"/>
                <w:sz w:val="17"/>
              </w:rPr>
              <w:t>Non conforme</w:t>
            </w:r>
          </w:p>
        </w:tc>
        <w:tc>
          <w:tcPr>
            <w:tcW w:type="dxa" w:w="4054"/>
            <w:tcBorders>
              <w:bottom w:val="single" w:sz="4" w:space="0" w:color="DFE7E3"/>
            </w:tcBorders>
          </w:tcPr>
          <w:p>
            <w:r>
              <w:rPr>
                <w:b w:val="0"/>
                <w:i w:val="0"/>
                <w:color w:val="33403B"/>
                <w:sz w:val="18"/>
              </w:rPr>
              <w:t>Aucune procédure formalisée de retrait des accès au départ : 14 comptes actifs de personnes sorties des effectifs, dont 3 à privilèges. Écart majeur.</w:t>
            </w:r>
          </w:p>
        </w:tc>
      </w:tr>
      <w:tr>
        <w:tc>
          <w:tcPr>
            <w:tcW w:type="dxa" w:w="1014"/>
            <w:tcBorders>
              <w:bottom w:val="single" w:sz="4" w:space="0" w:color="DFE7E3"/>
            </w:tcBorders>
          </w:tcPr>
          <w:p>
            <w:r>
              <w:rPr>
                <w:b w:val="0"/>
                <w:i w:val="0"/>
                <w:color w:val="33403B"/>
                <w:sz w:val="18"/>
              </w:rPr>
              <w:t>ISO-A.8</w:t>
            </w:r>
          </w:p>
        </w:tc>
        <w:tc>
          <w:tcPr>
            <w:tcW w:type="dxa" w:w="2896"/>
            <w:tcBorders>
              <w:bottom w:val="single" w:sz="4" w:space="0" w:color="DFE7E3"/>
            </w:tcBorders>
          </w:tcPr>
          <w:p>
            <w:r>
              <w:rPr>
                <w:b w:val="0"/>
                <w:i w:val="0"/>
                <w:color w:val="33403B"/>
                <w:sz w:val="18"/>
              </w:rPr>
              <w:t>Gestion des actifs</w:t>
            </w:r>
          </w:p>
        </w:tc>
        <w:tc>
          <w:tcPr>
            <w:tcW w:type="dxa" w:w="1448"/>
            <w:tcBorders>
              <w:bottom w:val="single" w:sz="4" w:space="0" w:color="DFE7E3"/>
            </w:tcBorders>
            <w:shd w:val="clear" w:color="auto" w:fill="FDEAED"/>
          </w:tcPr>
          <w:p>
            <w:r>
              <w:rPr>
                <w:b/>
                <w:i w:val="0"/>
                <w:color w:val="A3243C"/>
                <w:sz w:val="17"/>
              </w:rPr>
              <w:t>Non conforme</w:t>
            </w:r>
          </w:p>
        </w:tc>
        <w:tc>
          <w:tcPr>
            <w:tcW w:type="dxa" w:w="4054"/>
            <w:tcBorders>
              <w:bottom w:val="single" w:sz="4" w:space="0" w:color="DFE7E3"/>
            </w:tcBorders>
          </w:tcPr>
          <w:p>
            <w:r>
              <w:rPr>
                <w:b w:val="0"/>
                <w:i w:val="0"/>
                <w:color w:val="33403B"/>
                <w:sz w:val="18"/>
              </w:rPr>
              <w:t>Inventaire des actifs tenu mais non rapproché du parc réel depuis 19 mois ; 37 serveurs découverts au scan ne figurent pas à l'inventaire.</w:t>
            </w:r>
          </w:p>
        </w:tc>
      </w:tr>
    </w:tbl>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5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 actif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Déclarée active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2 tiers évalué(s) avant acquisition sur 4. (phase 3)</w:t>
            </w:r>
          </w:p>
        </w:tc>
      </w:tr>
    </w:tbl>
    <w:p/>
    <w:p>
      <w:r>
        <w:rPr>
          <w:b w:val="0"/>
          <w:i w:val="0"/>
          <w:color w:val="6B7F78"/>
          <w:sz w:val="18"/>
        </w:rPr>
        <w:t>3 pratique(s) couverte(s) sur 4 — 75 %.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Formaliser la procédure de retrait des accès au départ et clôturer les 14 comptes actifs de sortants — écart ISO A.7.</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Compléter le registre d'information DORA (Art. 28.3) pour les 3 prestataires critiques manquants avant l'échéance ACPR.</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Rapprocher l'inventaire des actifs du parc réel et intégrer les 37 serveurs découverts — écart ISO A.8.</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Documenter et tester une stratégie de sortie pour le prestataire core banking — exigence DORA.</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Étendre la collecte SIEM aux journaux applicatifs du core banking, aujourd'hui absents des 380 sources.</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bl>
    <w:p/>
    <w:p>
      <w:pPr>
        <w:spacing w:before="200" w:after="40"/>
      </w:pPr>
      <w:r>
        <w:rPr>
          <w:b/>
          <w:i w:val="0"/>
          <w:color w:val="0C2317"/>
          <w:sz w:val="21"/>
        </w:rPr>
        <w:t>11.2 Actions immédiates</w:t>
      </w:r>
    </w:p>
    <w:p>
      <w:pPr>
        <w:pStyle w:val="ListNumber"/>
      </w:pPr>
      <w:r>
        <w:rPr>
          <w:b w:val="0"/>
          <w:i w:val="0"/>
          <w:color w:val="33403B"/>
          <w:sz w:val="19"/>
        </w:rPr>
        <w:t>Clôturer les 3 comptes à privilèges de personnes sorties</w:t>
      </w:r>
    </w:p>
    <w:p>
      <w:pPr>
        <w:pStyle w:val="ListNumber"/>
      </w:pPr>
      <w:r>
        <w:rPr>
          <w:b w:val="0"/>
          <w:i w:val="0"/>
          <w:color w:val="33403B"/>
          <w:sz w:val="19"/>
        </w:rPr>
        <w:t>Publier la liste des prestataires critiques au registre DORA</w:t>
      </w:r>
    </w:p>
    <w:p>
      <w:pPr>
        <w:pStyle w:val="ListNumber"/>
      </w:pPr>
      <w:r>
        <w:rPr>
          <w:b w:val="0"/>
          <w:i w:val="0"/>
          <w:color w:val="33403B"/>
          <w:sz w:val="19"/>
        </w:rPr>
        <w:t>Activer l'alerte SIEM sur création de compte à privilèges</w:t>
      </w:r>
    </w:p>
    <w:p>
      <w:pPr>
        <w:pStyle w:val="ListNumber"/>
      </w:pPr>
      <w:r>
        <w:rPr>
          <w:b w:val="0"/>
          <w:i w:val="0"/>
          <w:color w:val="33403B"/>
          <w:sz w:val="19"/>
        </w:rPr>
        <w:t>Vérifier la couverture EDR des 37 serveurs découverts</w:t>
      </w:r>
    </w:p>
    <w:p>
      <w:pPr>
        <w:pStyle w:val="ListNumber"/>
      </w:pPr>
      <w:r>
        <w:rPr>
          <w:b w:val="0"/>
          <w:i w:val="0"/>
          <w:color w:val="33403B"/>
          <w:sz w:val="19"/>
        </w:rPr>
        <w:t>Planifier le prochain test de bascule avec procès-verbal</w:t>
      </w:r>
    </w:p>
    <w:p>
      <w:pPr>
        <w:pStyle w:val="ListNumber"/>
      </w:pPr>
      <w:r>
        <w:rPr>
          <w:b w:val="0"/>
          <w:i w:val="0"/>
          <w:color w:val="33403B"/>
          <w:sz w:val="19"/>
        </w:rPr>
        <w:t>Confirmer la clause de sortie du contrat core banking</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20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24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15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14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111 h</w:t>
            </w:r>
          </w:p>
        </w:tc>
      </w:tr>
    </w:tbl>
    <w:p/>
    <w:p>
      <w:r>
        <w:rPr>
          <w:b w:val="0"/>
          <w:i w:val="0"/>
          <w:color w:val="6B7F78"/>
          <w:sz w:val="18"/>
        </w:rPr>
        <w:t>Budget vendu : 34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Banque Aurore SA et sur les preuves collectées à la date du 30/07/2026,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Banque Aurore SA</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3e8cb366ed86aa35bd97defafbf838fa2e7be95c4cc680c1fa3ed5a0b7f51633</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