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Banque Aurore SA,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Banque Aurore SA.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SHA256:c6c4d45e568cff57cfe0161d28b9ae8c7b73842f56e0660190548ad3e4992b08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30/07/2026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c6c4d45e568cff57cfe0161d28b9ae8c7b73842f56e0660190548ad3e4992b08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