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Analyse de risques cyber (orientation EBIOS RM)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Banque Aurore SA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conformité ISO 27001 &amp; DORA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audit_de_conformite_iso_27001_et_dora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Méthode : </w:t>
            </w:r>
            <w:r>
              <w:rPr>
                <w:b/>
                <w:i w:val="0"/>
                <w:color w:val="EAF4F0"/>
                <w:sz w:val="17"/>
              </w:rPr>
              <w:t>EBIOS RM · ANSSI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Cadrage et identification du patrimoine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Cartographie des menaces &amp; scénarios EBIOS RM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3.  </w:t>
      </w:r>
      <w:r>
        <w:rPr>
          <w:b w:val="0"/>
          <w:i w:val="0"/>
          <w:color w:val="33403B"/>
          <w:sz w:val="20"/>
        </w:rPr>
        <w:t>Écosystème et risques tiers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4.  </w:t>
      </w:r>
      <w:r>
        <w:rPr>
          <w:b w:val="0"/>
          <w:i w:val="0"/>
          <w:color w:val="33403B"/>
          <w:sz w:val="20"/>
        </w:rPr>
        <w:t>Plan d'action &amp; traitement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Cadrage et identification du patrimoine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Ce chapitre identifie le périmètre d'évaluation, les missions fondamentales de l'entreprise et cartographie le patrimoine d'actifs.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1.1 Valeurs métier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98"/>
        <w:gridCol w:w="2282"/>
        <w:gridCol w:w="4278"/>
        <w:gridCol w:w="1854"/>
      </w:tblGrid>
      <w:tr>
        <w:tc>
          <w:tcPr>
            <w:tcW w:type="dxa" w:w="9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2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Valeur métier</w:t>
            </w:r>
          </w:p>
        </w:tc>
        <w:tc>
          <w:tcPr>
            <w:tcW w:type="dxa" w:w="427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5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Données personnelles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VM-01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Comptes et soldes clients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Registre des positions clients, cœur du système bancaire.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VM-02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Service de paiement instantané (SCT Inst)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Fonction critique au sens DORA — indisponibilité immédiatement visible du client.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VM-03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Dossiers de crédit et scoring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Décisions automatisées avec effet juridique (RGPD Art. 22).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VM-04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Piste d'audit réglementaire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Traçabilité exigée par l'ACPR, intégrité opposable.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1.2 Biens supports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3"/>
        <w:gridCol w:w="2063"/>
        <w:gridCol w:w="1289"/>
        <w:gridCol w:w="3352"/>
        <w:gridCol w:w="1805"/>
      </w:tblGrid>
      <w:tr>
        <w:tc>
          <w:tcPr>
            <w:tcW w:type="dxa" w:w="90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06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Bien support</w:t>
            </w:r>
          </w:p>
        </w:tc>
        <w:tc>
          <w:tcPr>
            <w:tcW w:type="dxa" w:w="128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Type</w:t>
            </w:r>
          </w:p>
        </w:tc>
        <w:tc>
          <w:tcPr>
            <w:tcW w:type="dxa" w:w="335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BS-01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Core banking system (éditeur externe)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Progiciel hébergé chez l'éditeur, version N-1.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BS-02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Plateforme de paiement SCT Inst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Interconnexion STET, disponibilité 24/7 exigée.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Directeur des Paiements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BS-03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Datacenter principal et site de repli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Deux sites actifs/passifs distants de 40 km.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Production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BS-04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SIEM et collecte de journaux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Collecte 380 sources, rétention 12 mois.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BS-05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Poste de travail et messagerie (M365)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640 postes, MFA généralisé, EDR déployé.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Cartographie des menaces &amp; scénarios EBIOS RM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Événements redoutés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98"/>
        <w:gridCol w:w="3137"/>
        <w:gridCol w:w="1255"/>
        <w:gridCol w:w="3922"/>
      </w:tblGrid>
      <w:tr>
        <w:tc>
          <w:tcPr>
            <w:tcW w:type="dxa" w:w="10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13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Événement redouté</w:t>
            </w:r>
          </w:p>
        </w:tc>
        <w:tc>
          <w:tcPr>
            <w:tcW w:type="dxa" w:w="1255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Gravité</w:t>
            </w:r>
          </w:p>
        </w:tc>
        <w:tc>
          <w:tcPr>
            <w:tcW w:type="dxa" w:w="392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Impacts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ER-01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Indisponibilité prolongée du paiement instantané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Fonction critique DORA interrompue, notification ACPR sous 4 h, atteinte de réputation immédiate.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ER-02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Altération de l'intégrité des soldes clients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Perte de confiance systémique, reconstitution manuelle, risque prudentiel.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ER-03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Fuite du fichier clients (210 000 personnes)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Notification CNIL sous 72 h et information individuelle, sanction possible, action de groupe.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2.2 Sources de risque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02"/>
        <w:gridCol w:w="4005"/>
        <w:gridCol w:w="4005"/>
      </w:tblGrid>
      <w:tr>
        <w:tc>
          <w:tcPr>
            <w:tcW w:type="dxa" w:w="140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Source de risque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Objectif visé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SR-01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Groupe criminel spécialisé secteur financier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Fraude au virement et extorsion.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SR-02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Compromission de la chaîne d'approvisionnement (éditeur core banking)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Accès indirect au SI bancaire via une mise à jour piégée.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 Scénarios opérationnels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41"/>
        <w:gridCol w:w="3496"/>
        <w:gridCol w:w="740"/>
        <w:gridCol w:w="740"/>
        <w:gridCol w:w="3496"/>
      </w:tblGrid>
      <w:tr>
        <w:tc>
          <w:tcPr>
            <w:tcW w:type="dxa" w:w="94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Scénario opérationnel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V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d'atténuation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Mise à jour piégée du core banking (BS-01) livrée par l'éditeur → exécution en production → accès aux comptes clients (VM-01) et altération des soldes.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Vérification d'intégrité des livraisons éditeur, environnement de pré-production isolé, revue de code des correctifs critiques.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Saturation volumétrique de la plateforme SCT Inst (BS-02) via l'interconnexion STET → indisponibilité de la fonction critique DORA.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Limitation de débit en amont, bascule sur le site de repli testée trimestriellement, procédure de dégradation maîtrisée.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2.3bis Traitement des risques (propriétaire, résiduel, décision)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243"/>
        <w:gridCol w:w="2664"/>
        <w:gridCol w:w="1776"/>
        <w:gridCol w:w="1953"/>
        <w:gridCol w:w="1776"/>
      </w:tblGrid>
      <w:tr>
        <w:tc>
          <w:tcPr>
            <w:tcW w:type="dxa" w:w="124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66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Propriétaire</w:t>
            </w:r>
          </w:p>
        </w:tc>
        <w:tc>
          <w:tcPr>
            <w:tcW w:type="dxa" w:w="177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Résiduel (G/V)</w:t>
            </w:r>
          </w:p>
        </w:tc>
        <w:tc>
          <w:tcPr>
            <w:tcW w:type="dxa" w:w="195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Stratégie</w:t>
            </w:r>
          </w:p>
        </w:tc>
        <w:tc>
          <w:tcPr>
            <w:tcW w:type="dxa" w:w="177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Statut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3/1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traitement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Directeur des Paiements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3/2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Ouvert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2.4 Cas réels versés au dossier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12"/>
        <w:gridCol w:w="6400"/>
      </w:tblGrid>
      <w:tr>
        <w:tc>
          <w:tcPr>
            <w:tcW w:type="dxa" w:w="301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Cas réel</w:t>
            </w:r>
          </w:p>
        </w:tc>
        <w:tc>
          <w:tcPr>
            <w:tcW w:type="dxa" w:w="640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Enseignement retenu pour ce client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Incident SolarWinds (2020)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La chaîne d'approvisionnement logicielle est un vecteur d'entrée légitime et signé — d'où l'exigence DORA de registre des prestataires.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Panne TSB (2018) — migration bancaire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Une bascule mal testée coûte plus cher qu'une attaque : le test de bascule est une exigence, pas une bonne pratique.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3. </w:t>
      </w:r>
      <w:r>
        <w:rPr>
          <w:b/>
          <w:i w:val="0"/>
          <w:color w:val="0C2317"/>
          <w:sz w:val="28"/>
        </w:rPr>
        <w:t>Écosystème et risques tiers</w:t>
      </w:r>
    </w:p>
    <w:p>
      <w:r>
        <w:rPr>
          <w:b w:val="0"/>
          <w:i w:val="0"/>
          <w:color w:val="6B7F78"/>
          <w:sz w:val="18"/>
        </w:rPr>
        <w:t>Ce volet ne produit aucun score de risque : ni DORA ni NIS2 ne se réclament d'EBIOS RM. La conformité se démontre par des preuves.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80"/>
        <w:gridCol w:w="2567"/>
        <w:gridCol w:w="3765"/>
      </w:tblGrid>
      <w:tr>
        <w:tc>
          <w:tcPr>
            <w:tcW w:type="dxa" w:w="308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Prestataire</w:t>
            </w:r>
          </w:p>
        </w:tc>
        <w:tc>
          <w:tcPr>
            <w:tcW w:type="dxa" w:w="2567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Exigences satisfaites</w:t>
            </w:r>
          </w:p>
        </w:tc>
        <w:tc>
          <w:tcPr>
            <w:tcW w:type="dxa" w:w="376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Écarts restants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Éditeur core banking (prestataire critique)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2/4 (50 %)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Clauses contractuelles obligatoires signées (DORA Art. 30) ; Stratégie de sortie documentée et testable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Opérateur d'interconnexion STET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 (100 %)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Conforme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Hébergeur du site de repli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0/4 (0 %)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Inscrit au registre d'information (DORA Art. 28.3) ; Clauses contractuelles obligatoires signées (DORA Art. 30) ; Stratégie de sortie documentée et testable ; Évaluation réalisée avant acquisition (NIST ID.RA-10)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Prestataire d'infogérance poste de travail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0/4 (0 %)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Inscrit au registre d'information (DORA Art. 28.3) ; Clauses contractuelles obligatoires signées (DORA Art. 30) ; Stratégie de sortie documentée et testable ; Évaluation réalisée avant acquisition (NIST ID.RA-10)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4. </w:t>
      </w:r>
      <w:r>
        <w:rPr>
          <w:b/>
          <w:i w:val="0"/>
          <w:color w:val="0C2317"/>
          <w:sz w:val="28"/>
        </w:rPr>
        <w:t>Plan d'action &amp; traitement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Chaque mesure ci-dessous répond à un scénario ou à un écart constaté au chapitre 2.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4.1 Mesures priorisées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98"/>
        <w:gridCol w:w="1711"/>
        <w:gridCol w:w="1882"/>
        <w:gridCol w:w="4620"/>
      </w:tblGrid>
      <w:tr>
        <w:tc>
          <w:tcPr>
            <w:tcW w:type="dxa" w:w="11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Priorité</w:t>
            </w:r>
          </w:p>
        </w:tc>
        <w:tc>
          <w:tcPr>
            <w:tcW w:type="dxa" w:w="18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Axe</w:t>
            </w:r>
          </w:p>
        </w:tc>
        <w:tc>
          <w:tcPr>
            <w:tcW w:type="dxa" w:w="462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de traitement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Formaliser la procédure de retrait des accès au départ et clôturer les 14 comptes actifs de sortants — écart ISO A.7.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Compléter le registre d'information DORA (Art. 28.3) pour les 3 prestataires critiques manquants avant l'échéance ACPR.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Rapprocher l'inventaire des actifs du parc réel et intégrer les 37 serveurs découverts — écart ISO A.8.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Documenter et tester une stratégie de sortie pour le prestataire core banking — exigence DORA.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Défense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Étendre la collecte SIEM aux journaux applicatifs du core banking, aujourd'hui absents des 380 sources.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4.1bis Pilotage (responsable, échéance, statut)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7"/>
        <w:gridCol w:w="2396"/>
        <w:gridCol w:w="1711"/>
        <w:gridCol w:w="1711"/>
        <w:gridCol w:w="2567"/>
      </w:tblGrid>
      <w:tr>
        <w:tc>
          <w:tcPr>
            <w:tcW w:type="dxa" w:w="102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3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Échéance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Statut</w:t>
            </w:r>
          </w:p>
        </w:tc>
        <w:tc>
          <w:tcPr>
            <w:tcW w:type="dxa" w:w="256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Coût estimé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cours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2026-09-30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2026-11-15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Moyen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2026-12-01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2026-10-15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Moyen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4.2 Actions immédiates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Clôturer les 3 comptes à privilèges de personnes sorties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Publier la liste des prestataires critiques au registre DORA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Activer l'alerte SIEM sur création de compte à privilèges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Vérifier la couverture EDR des 37 serveurs découverts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Planifier le prochain test de bascule avec procès-verbal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Confirmer la clause de sortie du contrat core banking</w:t>
      </w:r>
    </w:p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c6c4d45e568cff57cfe0161d28b9ae8c7b73842f56e0660190548ad3e4992b08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