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Analyse d'impact relative à la protection des données (AIPD / PIA)</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DPO : </w:t>
            </w:r>
            <w:r>
              <w:rPr>
                <w:b/>
                <w:i w:val="0"/>
                <w:color w:val="EAF4F0"/>
                <w:sz w:val="17"/>
              </w:rPr>
              <w:t>Enregistré au registre</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Registre des activités de traitement (RGPD Art. 30)</w:t>
      </w:r>
    </w:p>
    <w:p>
      <w:pPr>
        <w:spacing w:after="40"/>
      </w:pPr>
      <w:r>
        <w:rPr>
          <w:b w:val="0"/>
          <w:i w:val="0"/>
          <w:color w:val="2EE6A0"/>
          <w:sz w:val="20"/>
        </w:rPr>
        <w:t xml:space="preserve">2.  </w:t>
      </w:r>
      <w:r>
        <w:rPr>
          <w:b w:val="0"/>
          <w:i w:val="0"/>
          <w:color w:val="33403B"/>
          <w:sz w:val="20"/>
        </w:rPr>
        <w:t>Analyse d'impact systématique (PIA)</w:t>
      </w:r>
    </w:p>
    <w:p>
      <w:pPr>
        <w:spacing w:after="40"/>
      </w:pPr>
      <w:r>
        <w:rPr>
          <w:b w:val="0"/>
          <w:i w:val="0"/>
          <w:color w:val="2EE6A0"/>
          <w:sz w:val="20"/>
        </w:rPr>
        <w:t xml:space="preserve">3.  </w:t>
      </w:r>
      <w:r>
        <w:rPr>
          <w:b w:val="0"/>
          <w:i w:val="0"/>
          <w:color w:val="33403B"/>
          <w:sz w:val="20"/>
        </w:rPr>
        <w:t>Obligations organisationnelles (conduite de l'AIPD)</w:t>
      </w:r>
    </w:p>
    <w:p>
      <w:r>
        <w:br w:type="page"/>
      </w:r>
    </w:p>
    <w:p>
      <w:pPr>
        <w:spacing w:before="80" w:after="160"/>
        <w:pBdr>
          <w:bottom w:val="single" w:sz="16" w:space="4" w:color="2EE6A0"/>
        </w:pBdr>
      </w:pPr>
      <w:r>
        <w:rPr>
          <w:b/>
          <w:i w:val="0"/>
          <w:color w:val="2EE6A0"/>
          <w:sz w:val="28"/>
        </w:rPr>
        <w:t xml:space="preserve">1. </w:t>
      </w:r>
      <w:r>
        <w:rPr>
          <w:b/>
          <w:i w:val="0"/>
          <w:color w:val="0C2317"/>
          <w:sz w:val="28"/>
        </w:rPr>
        <w:t>Registre des activités de traitement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Activité de 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400" w:after="160"/>
        <w:pBdr>
          <w:bottom w:val="single" w:sz="16" w:space="4" w:color="2EE6A0"/>
        </w:pBdr>
      </w:pPr>
      <w:r>
        <w:rPr>
          <w:b/>
          <w:i w:val="0"/>
          <w:color w:val="2EE6A0"/>
          <w:sz w:val="28"/>
        </w:rPr>
        <w:t xml:space="preserve">2. </w:t>
      </w:r>
      <w:r>
        <w:rPr>
          <w:b/>
          <w:i w:val="0"/>
          <w:color w:val="0C2317"/>
          <w:sz w:val="28"/>
        </w:rPr>
        <w:t>Analyse d'impact systématique (PIA)</w:t>
      </w:r>
    </w:p>
    <w:p>
      <w:pPr>
        <w:spacing w:before="200" w:after="40"/>
      </w:pPr>
      <w:r>
        <w:rPr>
          <w:b/>
          <w:i w:val="0"/>
          <w:color w:val="0C2317"/>
          <w:sz w:val="21"/>
        </w:rPr>
        <w:t>2.1 Description systématique du traitement</w:t>
      </w:r>
    </w:p>
    <w:p>
      <w:pPr>
        <w:spacing w:after="120"/>
      </w:pPr>
      <w:r>
        <w:rPr>
          <w:b w:val="0"/>
          <w:i w:val="0"/>
          <w:color w:val="33403B"/>
          <w:sz w:val="20"/>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p>
      <w:pPr>
        <w:spacing w:before="200" w:after="40"/>
      </w:pPr>
      <w:r>
        <w:rPr>
          <w:b/>
          <w:i w:val="0"/>
          <w:color w:val="0C2317"/>
          <w:sz w:val="21"/>
        </w:rPr>
        <w:t>2.2 Évaluation de la nécessité et de la proportionnalité</w:t>
      </w:r>
    </w:p>
    <w:p>
      <w:pPr>
        <w:spacing w:after="120"/>
      </w:pPr>
      <w:r>
        <w:rPr>
          <w:b w:val="0"/>
          <w:i w:val="0"/>
          <w:color w:val="33403B"/>
          <w:sz w:val="20"/>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p>
      <w:pPr>
        <w:spacing w:before="200" w:after="40"/>
      </w:pPr>
      <w:r>
        <w:rPr>
          <w:b/>
          <w:i w:val="0"/>
          <w:color w:val="0C2317"/>
          <w:sz w:val="21"/>
        </w:rPr>
        <w:t>2.3 Évaluation des risques sur les droits et libertés des personnes</w:t>
      </w:r>
    </w:p>
    <w:p>
      <w:pPr>
        <w:spacing w:after="120"/>
      </w:pPr>
      <w:r>
        <w:rPr>
          <w:b w:val="0"/>
          <w:i w:val="0"/>
          <w:color w:val="33403B"/>
          <w:sz w:val="20"/>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p>
      <w:pPr>
        <w:spacing w:before="200" w:after="40"/>
      </w:pPr>
      <w:r>
        <w:rPr>
          <w:b/>
          <w:i w:val="0"/>
          <w:color w:val="0C2317"/>
          <w:sz w:val="21"/>
        </w:rPr>
        <w:t>2.4 Mesures de traitement et de sécurité envisagées (atténuation)</w:t>
      </w:r>
    </w:p>
    <w:p>
      <w:pPr>
        <w:spacing w:after="120"/>
      </w:pPr>
      <w:r>
        <w:rPr>
          <w:b w:val="0"/>
          <w:i w:val="0"/>
          <w:color w:val="33403B"/>
          <w:sz w:val="20"/>
        </w:rPr>
        <w:t>Retrait de la variable code postal et des 4 variables les plus corrélées, test de disparité annuel sur cohortes, motivation systématique du refus en langage clair, droit à l'intervention humaine sous 15 jours, journalisation des décisions pendant 5 ans.</w:t>
      </w:r>
    </w:p>
    <w:p>
      <w:pPr>
        <w:spacing w:before="400" w:after="160"/>
        <w:pBdr>
          <w:bottom w:val="single" w:sz="16" w:space="4" w:color="2EE6A0"/>
        </w:pBdr>
      </w:pPr>
      <w:r>
        <w:rPr>
          <w:b/>
          <w:i w:val="0"/>
          <w:color w:val="2EE6A0"/>
          <w:sz w:val="28"/>
        </w:rPr>
        <w:t xml:space="preserve">3. </w:t>
      </w:r>
      <w:r>
        <w:rPr>
          <w:b/>
          <w:i w:val="0"/>
          <w:color w:val="0C2317"/>
          <w:sz w:val="28"/>
        </w:rPr>
        <w:t>Obligations organisationnelles (conduite de l'AIPD)</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0C2317"/>
          <w:sz w:val="26"/>
        </w:rPr>
        <w:t>Signature de validation conformité CNIL</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Avis du Délégué à la Protection des Données (DPO)</w:t>
            </w:r>
          </w:p>
        </w:tc>
        <w:tc>
          <w:tcPr>
            <w:tcW w:type="dxa" w:w="4706"/>
            <w:shd w:val="clear" w:color="auto" w:fill="F2FBF7"/>
            <w:tcBorders>
              <w:bottom w:val="single" w:sz="6" w:space="0" w:color="C9DBD3"/>
            </w:tcBorders>
          </w:tcPr>
          <w:p>
            <w:r>
              <w:rPr>
                <w:b/>
                <w:i w:val="0"/>
                <w:color w:val="0C2317"/>
                <w:sz w:val="16"/>
              </w:rPr>
              <w:t>Validation du Responsable du Traitement</w:t>
            </w:r>
          </w:p>
        </w:tc>
      </w:tr>
      <w:tr>
        <w:tc>
          <w:tcPr>
            <w:tcW w:type="dxa" w:w="4706"/>
            <w:tcBorders>
              <w:bottom w:val="single" w:sz="4" w:space="0" w:color="DFE7E3"/>
            </w:tcBorders>
          </w:tcPr>
          <w:p>
            <w:r>
              <w:rPr>
                <w:b w:val="0"/>
                <w:i w:val="0"/>
                <w:color w:val="33403B"/>
                <w:sz w:val="18"/>
              </w:rPr>
              <w:t>Avis favorable / non favorable</w:t>
            </w:r>
          </w:p>
        </w:tc>
        <w:tc>
          <w:tcPr>
            <w:tcW w:type="dxa" w:w="4706"/>
            <w:tcBorders>
              <w:bottom w:val="single" w:sz="4" w:space="0" w:color="DFE7E3"/>
            </w:tcBorders>
          </w:tcPr>
          <w:p>
            <w:r>
              <w:rPr>
                <w:b w:val="0"/>
                <w:i w:val="0"/>
                <w:color w:val="33403B"/>
                <w:sz w:val="18"/>
              </w:rPr>
              <w:t>Validé pour mise en œuvre</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c6c4d45e568cff57cfe0161d28b9ae8c7b73842f56e0660190548ad3e4992b08</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