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14571" w:hRule="atLeast"/>
        </w:trPr>
        <w:tc>
          <w:tcPr>
            <w:tcW w:type="dxa" w:w="9412"/>
            <w:vAlign w:val="center"/>
            <w:shd w:val="clear" w:color="auto" w:fill="04150E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FFFFFF"/>
                <w:sz w:val="26"/>
              </w:rPr>
              <w:t>GREEN SHIELD</w:t>
            </w:r>
          </w:p>
          <w:p>
            <w:pPr>
              <w:jc w:val="center"/>
            </w:pPr>
            <w:r>
              <w:rPr>
                <w:b w:val="0"/>
                <w:i/>
                <w:color w:val="7BF3C8"/>
                <w:sz w:val="18"/>
              </w:rPr>
              <w:t>Cabinet non renseigné</w:t>
            </w:r>
          </w:p>
          <w:p>
            <w:pPr>
              <w:spacing w:before="560"/>
              <w:jc w:val="center"/>
            </w:pPr>
            <w:r>
              <w:rPr>
                <w:b/>
                <w:i w:val="0"/>
                <w:color w:val="FFFFFF"/>
                <w:sz w:val="44"/>
              </w:rPr>
              <w:t>Analyse de risques cyber (orientation EBIOS RM)</w:t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2EE6A0"/>
                <w:sz w:val="28"/>
              </w:rPr>
              <w:t>Vernier Composites SAS</w:t>
            </w:r>
          </w:p>
          <w:p>
            <w:pPr>
              <w:jc w:val="center"/>
            </w:pPr>
            <w:r>
              <w:rPr>
                <w:b w:val="0"/>
                <w:i w:val="0"/>
                <w:color w:val="A8C6BC"/>
                <w:sz w:val="20"/>
              </w:rPr>
              <w:t>Audit de sécurité &amp; analyse de risque EBIOS RM</w:t>
            </w:r>
          </w:p>
          <w:p>
            <w:pPr>
              <w:spacing w:before="400"/>
              <w:jc w:val="center"/>
            </w:pPr>
            <w:r>
              <w:rPr>
                <w:b w:val="0"/>
                <w:i w:val="0"/>
                <w:color w:val="8FB3A8"/>
                <w:sz w:val="17"/>
              </w:rPr>
              <w:t xml:space="preserve">Réf. mission : </w:t>
            </w:r>
            <w:r>
              <w:rPr>
                <w:b/>
                <w:i w:val="0"/>
                <w:color w:val="EAF4F0"/>
                <w:sz w:val="17"/>
              </w:rPr>
              <w:t>audit_de_securite_et_analyse_de_risque_ebios_rm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Méthode : </w:t>
            </w:r>
            <w:r>
              <w:rPr>
                <w:b/>
                <w:i w:val="0"/>
                <w:color w:val="EAF4F0"/>
                <w:sz w:val="17"/>
              </w:rPr>
              <w:t>EBIOS RM · ANSSI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Auditeur : </w:t>
            </w:r>
            <w:r>
              <w:rPr>
                <w:b/>
                <w:i w:val="0"/>
                <w:color w:val="EAF4F0"/>
                <w:sz w:val="17"/>
              </w:rPr>
              <w:t>—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Cabinet : </w:t>
            </w:r>
            <w:r>
              <w:rPr>
                <w:b/>
                <w:i w:val="0"/>
                <w:color w:val="EAF4F0"/>
                <w:sz w:val="17"/>
              </w:rPr>
              <w:t>Cabinet non renseigné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Édité le : </w:t>
            </w:r>
            <w:r>
              <w:rPr>
                <w:b/>
                <w:i w:val="0"/>
                <w:color w:val="EAF4F0"/>
                <w:sz w:val="17"/>
              </w:rPr>
              <w:t>31/07/2026</w:t>
            </w:r>
          </w:p>
          <w:p>
            <w:pPr>
              <w:spacing w:before="360"/>
              <w:jc w:val="center"/>
            </w:pPr>
            <w:r>
              <w:rPr>
                <w:b/>
                <w:i w:val="0"/>
                <w:color w:val="7BF3C8"/>
                <w:sz w:val="16"/>
              </w:rPr>
              <w:t xml:space="preserve">  DOCUMENT CONFIDENTIEL — DIFFUSION RESTREINTE  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i w:val="0"/>
          <w:color w:val="0C2317"/>
          <w:sz w:val="26"/>
        </w:rPr>
        <w:t>Sommaire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1.  </w:t>
      </w:r>
      <w:r>
        <w:rPr>
          <w:b w:val="0"/>
          <w:i w:val="0"/>
          <w:color w:val="33403B"/>
          <w:sz w:val="20"/>
        </w:rPr>
        <w:t>Cadrage et identification du patrimoine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2.  </w:t>
      </w:r>
      <w:r>
        <w:rPr>
          <w:b w:val="0"/>
          <w:i w:val="0"/>
          <w:color w:val="33403B"/>
          <w:sz w:val="20"/>
        </w:rPr>
        <w:t>Cartographie des menaces &amp; scénarios EBIOS RM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3.  </w:t>
      </w:r>
      <w:r>
        <w:rPr>
          <w:b w:val="0"/>
          <w:i w:val="0"/>
          <w:color w:val="33403B"/>
          <w:sz w:val="20"/>
        </w:rPr>
        <w:t>Écosystème et risques tiers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4.  </w:t>
      </w:r>
      <w:r>
        <w:rPr>
          <w:b w:val="0"/>
          <w:i w:val="0"/>
          <w:color w:val="33403B"/>
          <w:sz w:val="20"/>
        </w:rPr>
        <w:t>Plan d'action &amp; traitement</w:t>
      </w:r>
    </w:p>
    <w:p>
      <w:r>
        <w:br w:type="page"/>
      </w:r>
    </w:p>
    <w:p>
      <w:pPr>
        <w:spacing w:before="8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1. </w:t>
      </w:r>
      <w:r>
        <w:rPr>
          <w:b/>
          <w:i w:val="0"/>
          <w:color w:val="0C2317"/>
          <w:sz w:val="28"/>
        </w:rPr>
        <w:t>Cadrage et identification du patrimoine</w:t>
      </w:r>
    </w:p>
    <w:p>
      <w:pPr>
        <w:spacing w:after="120"/>
      </w:pPr>
      <w:r>
        <w:rPr>
          <w:b w:val="0"/>
          <w:i w:val="0"/>
          <w:color w:val="33403B"/>
          <w:sz w:val="20"/>
        </w:rPr>
        <w:t>Ce chapitre identifie le périmètre d'évaluation, les missions fondamentales de l'entreprise et cartographie le patrimoine d'actifs.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1.1 Valeurs métier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8"/>
        <w:gridCol w:w="2282"/>
        <w:gridCol w:w="4278"/>
        <w:gridCol w:w="1854"/>
      </w:tblGrid>
      <w:tr>
        <w:tc>
          <w:tcPr>
            <w:tcW w:type="dxa" w:w="9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28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Valeur métier</w:t>
            </w:r>
          </w:p>
        </w:tc>
        <w:tc>
          <w:tcPr>
            <w:tcW w:type="dxa" w:w="427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Description</w:t>
            </w:r>
          </w:p>
        </w:tc>
        <w:tc>
          <w:tcPr>
            <w:tcW w:type="dxa" w:w="1854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Données personnelles</w:t>
            </w:r>
          </w:p>
        </w:tc>
      </w:tr>
      <w:tr>
        <w:tc>
          <w:tcPr>
            <w:tcW w:type="dxa" w:w="9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VM-01</w:t>
            </w:r>
          </w:p>
        </w:tc>
        <w:tc>
          <w:tcPr>
            <w:tcW w:type="dxa" w:w="22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Formulations et procédés composites (R&amp;D)</w:t>
            </w:r>
          </w:p>
        </w:tc>
        <w:tc>
          <w:tcPr>
            <w:tcW w:type="dxa" w:w="427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Recettes matières, courbes de cuisson, résultats d'essais destructifs. Actif le plus sensible de l'entreprise, non brevetable en l'état.</w:t>
            </w:r>
          </w:p>
        </w:tc>
        <w:tc>
          <w:tcPr>
            <w:tcW w:type="dxa" w:w="185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</w:t>
            </w:r>
          </w:p>
        </w:tc>
      </w:tr>
      <w:tr>
        <w:tc>
          <w:tcPr>
            <w:tcW w:type="dxa" w:w="9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VM-02</w:t>
            </w:r>
          </w:p>
        </w:tc>
        <w:tc>
          <w:tcPr>
            <w:tcW w:type="dxa" w:w="22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Dossiers de qualification client</w:t>
            </w:r>
          </w:p>
        </w:tc>
        <w:tc>
          <w:tcPr>
            <w:tcW w:type="dxa" w:w="427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Preuves de conformité aéronautique par lot, exigées lors des audits clients.</w:t>
            </w:r>
          </w:p>
        </w:tc>
        <w:tc>
          <w:tcPr>
            <w:tcW w:type="dxa" w:w="185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</w:t>
            </w:r>
          </w:p>
        </w:tc>
      </w:tr>
      <w:tr>
        <w:tc>
          <w:tcPr>
            <w:tcW w:type="dxa" w:w="9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VM-03</w:t>
            </w:r>
          </w:p>
        </w:tc>
        <w:tc>
          <w:tcPr>
            <w:tcW w:type="dxa" w:w="22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Données RH et paie</w:t>
            </w:r>
          </w:p>
        </w:tc>
        <w:tc>
          <w:tcPr>
            <w:tcW w:type="dxa" w:w="427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Contrats, bulletins, données de santé au travail des 204 salariés.</w:t>
            </w:r>
          </w:p>
        </w:tc>
        <w:tc>
          <w:tcPr>
            <w:tcW w:type="dxa" w:w="185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Oui</w:t>
            </w:r>
          </w:p>
        </w:tc>
      </w:tr>
      <w:tr>
        <w:tc>
          <w:tcPr>
            <w:tcW w:type="dxa" w:w="9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VM-04</w:t>
            </w:r>
          </w:p>
        </w:tc>
        <w:tc>
          <w:tcPr>
            <w:tcW w:type="dxa" w:w="22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Continuité de la ligne de production</w:t>
            </w:r>
          </w:p>
        </w:tc>
        <w:tc>
          <w:tcPr>
            <w:tcW w:type="dxa" w:w="427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Disponibilité des automates et du MES pilotant les 4 fours de cuisson.</w:t>
            </w:r>
          </w:p>
        </w:tc>
        <w:tc>
          <w:tcPr>
            <w:tcW w:type="dxa" w:w="185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1.2 Biens supports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3"/>
        <w:gridCol w:w="2063"/>
        <w:gridCol w:w="1289"/>
        <w:gridCol w:w="3352"/>
        <w:gridCol w:w="1805"/>
      </w:tblGrid>
      <w:tr>
        <w:tc>
          <w:tcPr>
            <w:tcW w:type="dxa" w:w="90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06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Bien support</w:t>
            </w:r>
          </w:p>
        </w:tc>
        <w:tc>
          <w:tcPr>
            <w:tcW w:type="dxa" w:w="1289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Type</w:t>
            </w:r>
          </w:p>
        </w:tc>
        <w:tc>
          <w:tcPr>
            <w:tcW w:type="dxa" w:w="335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Description</w:t>
            </w:r>
          </w:p>
        </w:tc>
        <w:tc>
          <w:tcPr>
            <w:tcW w:type="dxa" w:w="180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Responsable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BS-01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Active Directory (2 contrôleurs de domaine)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Logiciel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Annuaire unique, forêt à domaine unique, niveau fonctionnel 2016.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Responsable Infrastructure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BS-02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Serveur de fichiers R&amp;D (NAS)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Matériel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Stocke les formulations. Partage SMB, pas de chiffrement au repos.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Responsable R&amp;D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BS-03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MES et automates de cuisson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Matériel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Réseau OT à plat, non segmenté du réseau bureautique.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Responsable Production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BS-04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Postes de travail (168 postes Windows 11)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Matériel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Parc géré par GPO, sans EDR à ce jour.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Support IT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BS-05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Messagerie Microsoft 365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Logiciel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Tenant unique, MFA activé pour les seuls administrateurs.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Responsable Infrastructure</w:t>
            </w:r>
          </w:p>
        </w:tc>
      </w:tr>
      <w:tr>
        <w:tc>
          <w:tcPr>
            <w:tcW w:type="dxa" w:w="90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BS-06</w:t>
            </w:r>
          </w:p>
        </w:tc>
        <w:tc>
          <w:tcPr>
            <w:tcW w:type="dxa" w:w="206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Sauvegardes Veeam sur NAS secondaire</w:t>
            </w:r>
          </w:p>
        </w:tc>
        <w:tc>
          <w:tcPr>
            <w:tcW w:type="dxa" w:w="1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Matériel</w:t>
            </w:r>
          </w:p>
        </w:tc>
        <w:tc>
          <w:tcPr>
            <w:tcW w:type="dxa" w:w="335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Sauvegarde quotidienne, même VLAN que la production, pas de copie hors site.</w:t>
            </w:r>
          </w:p>
        </w:tc>
        <w:tc>
          <w:tcPr>
            <w:tcW w:type="dxa" w:w="18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Responsable Infrastructure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2. </w:t>
      </w:r>
      <w:r>
        <w:rPr>
          <w:b/>
          <w:i w:val="0"/>
          <w:color w:val="0C2317"/>
          <w:sz w:val="28"/>
        </w:rPr>
        <w:t>Cartographie des menaces &amp; scénarios EBIOS RM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2.1 Événements redoutés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98"/>
        <w:gridCol w:w="3137"/>
        <w:gridCol w:w="1255"/>
        <w:gridCol w:w="3922"/>
      </w:tblGrid>
      <w:tr>
        <w:tc>
          <w:tcPr>
            <w:tcW w:type="dxa" w:w="10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3137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Événement redouté</w:t>
            </w:r>
          </w:p>
        </w:tc>
        <w:tc>
          <w:tcPr>
            <w:tcW w:type="dxa" w:w="1255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Gravité</w:t>
            </w:r>
          </w:p>
        </w:tc>
        <w:tc>
          <w:tcPr>
            <w:tcW w:type="dxa" w:w="392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Impacts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ER-01</w:t>
            </w:r>
          </w:p>
        </w:tc>
        <w:tc>
          <w:tcPr>
            <w:tcW w:type="dxa" w:w="313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Chiffrement du SI de production par rançongiciel</w:t>
            </w:r>
          </w:p>
        </w:tc>
        <w:tc>
          <w:tcPr>
            <w:tcW w:type="dxa" w:w="125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39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Arrêt des 4 fours de cuisson, 38 k€/jour ouvré, pénalités de retard contractuelles au-delà de 5 jours.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ER-02</w:t>
            </w:r>
          </w:p>
        </w:tc>
        <w:tc>
          <w:tcPr>
            <w:tcW w:type="dxa" w:w="313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Exfiltration des formulations composites</w:t>
            </w:r>
          </w:p>
        </w:tc>
        <w:tc>
          <w:tcPr>
            <w:tcW w:type="dxa" w:w="125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39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Perte définitive de l'avantage concurrentiel : les formulations ne sont pas brevetées et leur valeur repose entièrement sur le secret.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ER-03</w:t>
            </w:r>
          </w:p>
        </w:tc>
        <w:tc>
          <w:tcPr>
            <w:tcW w:type="dxa" w:w="313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Falsification d'un dossier de qualification client</w:t>
            </w:r>
          </w:p>
        </w:tc>
        <w:tc>
          <w:tcPr>
            <w:tcW w:type="dxa" w:w="125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3/4</w:t>
            </w:r>
          </w:p>
        </w:tc>
        <w:tc>
          <w:tcPr>
            <w:tcW w:type="dxa" w:w="39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Perte de la qualification aéronautique, exclusion de la chaîne d'approvisionnement du donneur d'ordre.</w:t>
            </w:r>
          </w:p>
        </w:tc>
      </w:tr>
      <w:tr>
        <w:tc>
          <w:tcPr>
            <w:tcW w:type="dxa" w:w="10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ER-04</w:t>
            </w:r>
          </w:p>
        </w:tc>
        <w:tc>
          <w:tcPr>
            <w:tcW w:type="dxa" w:w="313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Divulgation des données de santé au travail</w:t>
            </w:r>
          </w:p>
        </w:tc>
        <w:tc>
          <w:tcPr>
            <w:tcW w:type="dxa" w:w="125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3/4</w:t>
            </w:r>
          </w:p>
        </w:tc>
        <w:tc>
          <w:tcPr>
            <w:tcW w:type="dxa" w:w="39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Atteinte grave à la vie privée de salariés identifiables, sanction CNIL, conflit social.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2.2 Sources de risque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02"/>
        <w:gridCol w:w="4005"/>
        <w:gridCol w:w="4005"/>
      </w:tblGrid>
      <w:tr>
        <w:tc>
          <w:tcPr>
            <w:tcW w:type="dxa" w:w="140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400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Source de risque</w:t>
            </w:r>
          </w:p>
        </w:tc>
        <w:tc>
          <w:tcPr>
            <w:tcW w:type="dxa" w:w="400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Objectif visé</w:t>
            </w:r>
          </w:p>
        </w:tc>
      </w:tr>
      <w:tr>
        <w:tc>
          <w:tcPr>
            <w:tcW w:type="dxa" w:w="140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SR-01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Groupe cybercriminel opérant en rançongiciel-as-a-service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Extorsion par double peine : chiffrement puis menace de publication.</w:t>
            </w:r>
          </w:p>
        </w:tc>
      </w:tr>
      <w:tr>
        <w:tc>
          <w:tcPr>
            <w:tcW w:type="dxa" w:w="140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SR-02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Concurrent étranger via prestataire de maintenance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Captation des formulations pour combler un retard technologique.</w:t>
            </w:r>
          </w:p>
        </w:tc>
      </w:tr>
      <w:tr>
        <w:tc>
          <w:tcPr>
            <w:tcW w:type="dxa" w:w="140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SR-03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Salarié en partance vers un concurrent</w:t>
            </w:r>
          </w:p>
        </w:tc>
        <w:tc>
          <w:tcPr>
            <w:tcW w:type="dxa" w:w="400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Emport de dossiers R&amp;D à des fins d'embauche.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2.3 Scénarios opérationnels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"/>
        <w:gridCol w:w="3496"/>
        <w:gridCol w:w="740"/>
        <w:gridCol w:w="740"/>
        <w:gridCol w:w="3496"/>
      </w:tblGrid>
      <w:tr>
        <w:tc>
          <w:tcPr>
            <w:tcW w:type="dxa" w:w="941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349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Scénario opérationnel</w:t>
            </w:r>
          </w:p>
        </w:tc>
        <w:tc>
          <w:tcPr>
            <w:tcW w:type="dxa" w:w="740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G</w:t>
            </w:r>
          </w:p>
        </w:tc>
        <w:tc>
          <w:tcPr>
            <w:tcW w:type="dxa" w:w="740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V</w:t>
            </w:r>
          </w:p>
        </w:tc>
        <w:tc>
          <w:tcPr>
            <w:tcW w:type="dxa" w:w="349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Mesure d'atténuation</w:t>
            </w:r>
          </w:p>
        </w:tc>
      </w:tr>
      <w:tr>
        <w:tc>
          <w:tcPr>
            <w:tcW w:type="dxa" w:w="94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SO-01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Hameçonnage d'un poste bureautique (BS-04, sans EDR) → récupération d'identifiants → élévation de privilèges sur l'AD (BS-01) → propagation vers le MES (BS-03) faute de segmentation OT/IT → chiffrement, y compris des sauvegardes (BS-06) placées sur le même VLAN.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3/5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Déploiement EDR, MFA généralisé, segmentation OT/IT, sauvegarde immuable hors site.</w:t>
            </w:r>
          </w:p>
        </w:tc>
      </w:tr>
      <w:tr>
        <w:tc>
          <w:tcPr>
            <w:tcW w:type="dxa" w:w="94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SO-02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Compromission du compte VPN du prestataire de maintenance des fours → rebond vers le NAS R&amp;D (BS-02) dont le partage SMB est accessible sans cloisonnement → copie des formulations.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4/4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2/5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VPN nominatif par prestataire, MFA obligatoire, restriction d'accès au NAS R&amp;D par groupe AD, journalisation des accès.</w:t>
            </w:r>
          </w:p>
        </w:tc>
      </w:tr>
      <w:tr>
        <w:tc>
          <w:tcPr>
            <w:tcW w:type="dxa" w:w="94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SO-03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Salarié R&amp;D copiant les formulations sur un support amovible avant son départ, aucun contrôle des périphériques USB n'étant en place.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3/4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3/5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Blocage USB par GPO sauf dérogation, journalisation des copies volumineuses, clause de confidentialité renforcée.</w:t>
            </w:r>
          </w:p>
        </w:tc>
      </w:tr>
      <w:tr>
        <w:tc>
          <w:tcPr>
            <w:tcW w:type="dxa" w:w="94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SO-04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Accès illégitime au NVR de vidéoprotection depuis le VLAN bureautique, faute de segmentation.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3/4</w:t>
            </w:r>
          </w:p>
        </w:tc>
        <w:tc>
          <w:tcPr>
            <w:tcW w:type="dxa" w:w="740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2/5</w:t>
            </w:r>
          </w:p>
        </w:tc>
        <w:tc>
          <w:tcPr>
            <w:tcW w:type="dxa" w:w="34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VLAN dédié au NVR, authentification nominative, journalisation des consultations.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2.3bis Traitement des risques (propriétaire, résiduel, décision)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3"/>
        <w:gridCol w:w="2664"/>
        <w:gridCol w:w="1776"/>
        <w:gridCol w:w="1953"/>
        <w:gridCol w:w="1776"/>
      </w:tblGrid>
      <w:tr>
        <w:tc>
          <w:tcPr>
            <w:tcW w:type="dxa" w:w="124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664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Propriétaire</w:t>
            </w:r>
          </w:p>
        </w:tc>
        <w:tc>
          <w:tcPr>
            <w:tcW w:type="dxa" w:w="177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Résiduel (G/V)</w:t>
            </w:r>
          </w:p>
        </w:tc>
        <w:tc>
          <w:tcPr>
            <w:tcW w:type="dxa" w:w="195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Stratégie</w:t>
            </w:r>
          </w:p>
        </w:tc>
        <w:tc>
          <w:tcPr>
            <w:tcW w:type="dxa" w:w="177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Statut</w:t>
            </w:r>
          </w:p>
        </w:tc>
      </w:tr>
      <w:tr>
        <w:tc>
          <w:tcPr>
            <w:tcW w:type="dxa" w:w="124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SO-01</w:t>
            </w:r>
          </w:p>
        </w:tc>
        <w:tc>
          <w:tcPr>
            <w:tcW w:type="dxa" w:w="266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RSSI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3/2</w:t>
            </w:r>
          </w:p>
        </w:tc>
        <w:tc>
          <w:tcPr>
            <w:tcW w:type="dxa" w:w="19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Réduire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En traitement</w:t>
            </w:r>
          </w:p>
        </w:tc>
      </w:tr>
      <w:tr>
        <w:tc>
          <w:tcPr>
            <w:tcW w:type="dxa" w:w="124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SO-02</w:t>
            </w:r>
          </w:p>
        </w:tc>
        <w:tc>
          <w:tcPr>
            <w:tcW w:type="dxa" w:w="266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3/1</w:t>
            </w:r>
          </w:p>
        </w:tc>
        <w:tc>
          <w:tcPr>
            <w:tcW w:type="dxa" w:w="19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Réduire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Ouvert</w:t>
            </w:r>
          </w:p>
        </w:tc>
      </w:tr>
      <w:tr>
        <w:tc>
          <w:tcPr>
            <w:tcW w:type="dxa" w:w="124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SO-03</w:t>
            </w:r>
          </w:p>
        </w:tc>
        <w:tc>
          <w:tcPr>
            <w:tcW w:type="dxa" w:w="266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Direction R&amp;D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4/2</w:t>
            </w:r>
          </w:p>
        </w:tc>
        <w:tc>
          <w:tcPr>
            <w:tcW w:type="dxa" w:w="19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Réduire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Ouvert</w:t>
            </w:r>
          </w:p>
        </w:tc>
      </w:tr>
      <w:tr>
        <w:tc>
          <w:tcPr>
            <w:tcW w:type="dxa" w:w="124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SO-04</w:t>
            </w:r>
          </w:p>
        </w:tc>
        <w:tc>
          <w:tcPr>
            <w:tcW w:type="dxa" w:w="266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Responsable Sûreté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1/1</w:t>
            </w:r>
          </w:p>
        </w:tc>
        <w:tc>
          <w:tcPr>
            <w:tcW w:type="dxa" w:w="19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Accepter</w:t>
            </w:r>
          </w:p>
        </w:tc>
        <w:tc>
          <w:tcPr>
            <w:tcW w:type="dxa" w:w="177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Traité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2.4 Cas réels versés au dossier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12"/>
        <w:gridCol w:w="6400"/>
      </w:tblGrid>
      <w:tr>
        <w:tc>
          <w:tcPr>
            <w:tcW w:type="dxa" w:w="301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Cas réel</w:t>
            </w:r>
          </w:p>
        </w:tc>
        <w:tc>
          <w:tcPr>
            <w:tcW w:type="dxa" w:w="640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Enseignement retenu pour ce client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Norsk Hydro (2019) — rançongiciel LockerGoga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Industriel comparable : la propagation IT vers OT a arrêté la production faute de segmentation. La transparence publique a limité l'atteinte réputationnelle.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ASML / employé exfiltrant des données (2023)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La menace interne sur la propriété intellectuelle industrielle est réelle et ne se traite pas par des mesures périmétriques.</w:t>
            </w:r>
          </w:p>
        </w:tc>
      </w:tr>
      <w:tr>
        <w:tc>
          <w:tcPr>
            <w:tcW w:type="dxa" w:w="301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Fuite de données de santé — laboratoires français (2021)</w:t>
            </w:r>
          </w:p>
        </w:tc>
        <w:tc>
          <w:tcPr>
            <w:tcW w:type="dxa" w:w="640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Les données de santé mal cloisonnées finissent en accès ouvert ; la sanction porte sur le défaut de mesures, pas sur l'attaque.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3. </w:t>
      </w:r>
      <w:r>
        <w:rPr>
          <w:b/>
          <w:i w:val="0"/>
          <w:color w:val="0C2317"/>
          <w:sz w:val="28"/>
        </w:rPr>
        <w:t>Écosystème et risques tiers</w:t>
      </w:r>
    </w:p>
    <w:p>
      <w:r>
        <w:rPr>
          <w:b w:val="0"/>
          <w:i w:val="0"/>
          <w:color w:val="6B7F78"/>
          <w:sz w:val="18"/>
        </w:rPr>
        <w:t>Criticité selon la formule ANSSI : (dépendance × pénétration) / (maturité × confiance).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5"/>
        <w:gridCol w:w="1849"/>
        <w:gridCol w:w="1513"/>
        <w:gridCol w:w="3025"/>
      </w:tblGrid>
      <w:tr>
        <w:tc>
          <w:tcPr>
            <w:tcW w:type="dxa" w:w="302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Tiers</w:t>
            </w:r>
          </w:p>
        </w:tc>
        <w:tc>
          <w:tcPr>
            <w:tcW w:type="dxa" w:w="1849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Criticité</w:t>
            </w:r>
          </w:p>
        </w:tc>
        <w:tc>
          <w:tcPr>
            <w:tcW w:type="dxa" w:w="1513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Ratio</w:t>
            </w:r>
          </w:p>
        </w:tc>
        <w:tc>
          <w:tcPr>
            <w:tcW w:type="dxa" w:w="3025"/>
            <w:shd w:val="clear" w:color="auto" w:fill="F2FBF7"/>
            <w:tcBorders>
              <w:bottom w:val="single" w:sz="6" w:space="0" w:color="C9DBD3"/>
            </w:tcBorders>
          </w:tcPr>
          <w:p>
            <w:pPr>
              <w:jc w:val="right"/>
            </w:pPr>
            <w:r>
              <w:rPr>
                <w:b/>
                <w:i w:val="0"/>
                <w:color w:val="0C2317"/>
                <w:sz w:val="16"/>
              </w:rPr>
              <w:t>Dép. / Pén. / Mat. / Conf.</w:t>
            </w:r>
          </w:p>
        </w:tc>
      </w:tr>
      <w:tr>
        <w:tc>
          <w:tcPr>
            <w:tcW w:type="dxa" w:w="302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Prestataire maintenance automates (accès VPN permanent)</w:t>
            </w:r>
          </w:p>
        </w:tc>
        <w:tc>
          <w:tcPr>
            <w:tcW w:type="dxa" w:w="1849"/>
            <w:tcBorders>
              <w:bottom w:val="single" w:sz="4" w:space="0" w:color="DFE7E3"/>
            </w:tcBorders>
            <w:shd w:val="clear" w:color="auto" w:fill="FDEAED"/>
          </w:tcPr>
          <w:p>
            <w:r>
              <w:rPr>
                <w:b/>
                <w:i w:val="0"/>
                <w:color w:val="A3243C"/>
                <w:sz w:val="17"/>
              </w:rPr>
              <w:t>Critique</w:t>
            </w:r>
          </w:p>
        </w:tc>
        <w:tc>
          <w:tcPr>
            <w:tcW w:type="dxa" w:w="1513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4.17</w:t>
            </w:r>
          </w:p>
        </w:tc>
        <w:tc>
          <w:tcPr>
            <w:tcW w:type="dxa" w:w="302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5 / 5 / 2 / 3</w:t>
            </w:r>
          </w:p>
        </w:tc>
      </w:tr>
      <w:tr>
        <w:tc>
          <w:tcPr>
            <w:tcW w:type="dxa" w:w="302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Infogéreur poste de travail</w:t>
            </w:r>
          </w:p>
        </w:tc>
        <w:tc>
          <w:tcPr>
            <w:tcW w:type="dxa" w:w="1849"/>
            <w:tcBorders>
              <w:bottom w:val="single" w:sz="4" w:space="0" w:color="DFE7E3"/>
            </w:tcBorders>
            <w:shd w:val="clear" w:color="auto" w:fill="E8F4FD"/>
          </w:tcPr>
          <w:p>
            <w:r>
              <w:rPr>
                <w:b/>
                <w:i w:val="0"/>
                <w:color w:val="1D5F88"/>
                <w:sz w:val="17"/>
              </w:rPr>
              <w:t>Moyen</w:t>
            </w:r>
          </w:p>
        </w:tc>
        <w:tc>
          <w:tcPr>
            <w:tcW w:type="dxa" w:w="1513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1.33</w:t>
            </w:r>
          </w:p>
        </w:tc>
        <w:tc>
          <w:tcPr>
            <w:tcW w:type="dxa" w:w="302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4 / 4 / 3 / 4</w:t>
            </w:r>
          </w:p>
        </w:tc>
      </w:tr>
      <w:tr>
        <w:tc>
          <w:tcPr>
            <w:tcW w:type="dxa" w:w="302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Hébergeur Microsoft 365</w:t>
            </w:r>
          </w:p>
        </w:tc>
        <w:tc>
          <w:tcPr>
            <w:tcW w:type="dxa" w:w="1849"/>
            <w:tcBorders>
              <w:bottom w:val="single" w:sz="4" w:space="0" w:color="DFE7E3"/>
            </w:tcBorders>
            <w:shd w:val="clear" w:color="auto" w:fill="EEF2F1"/>
          </w:tcPr>
          <w:p>
            <w:r>
              <w:rPr>
                <w:b/>
                <w:i w:val="0"/>
                <w:color w:val="62726D"/>
                <w:sz w:val="17"/>
              </w:rPr>
              <w:t>Faible</w:t>
            </w:r>
          </w:p>
        </w:tc>
        <w:tc>
          <w:tcPr>
            <w:tcW w:type="dxa" w:w="1513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0.8</w:t>
            </w:r>
          </w:p>
        </w:tc>
        <w:tc>
          <w:tcPr>
            <w:tcW w:type="dxa" w:w="302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5 / 4 / 5 / 5</w:t>
            </w:r>
          </w:p>
        </w:tc>
      </w:tr>
      <w:tr>
        <w:tc>
          <w:tcPr>
            <w:tcW w:type="dxa" w:w="302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Fournisseur de résines (portail EDI)</w:t>
            </w:r>
          </w:p>
        </w:tc>
        <w:tc>
          <w:tcPr>
            <w:tcW w:type="dxa" w:w="1849"/>
            <w:tcBorders>
              <w:bottom w:val="single" w:sz="4" w:space="0" w:color="DFE7E3"/>
            </w:tcBorders>
            <w:shd w:val="clear" w:color="auto" w:fill="EEF2F1"/>
          </w:tcPr>
          <w:p>
            <w:r>
              <w:rPr>
                <w:b/>
                <w:i w:val="0"/>
                <w:color w:val="62726D"/>
                <w:sz w:val="17"/>
              </w:rPr>
              <w:t>Faible</w:t>
            </w:r>
          </w:p>
        </w:tc>
        <w:tc>
          <w:tcPr>
            <w:tcW w:type="dxa" w:w="1513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0.67</w:t>
            </w:r>
          </w:p>
        </w:tc>
        <w:tc>
          <w:tcPr>
            <w:tcW w:type="dxa" w:w="302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3 / 2 / 3 / 3</w:t>
            </w:r>
          </w:p>
        </w:tc>
      </w:tr>
      <w:tr>
        <w:tc>
          <w:tcPr>
            <w:tcW w:type="dxa" w:w="302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Cabinet d'expertise comptable</w:t>
            </w:r>
          </w:p>
        </w:tc>
        <w:tc>
          <w:tcPr>
            <w:tcW w:type="dxa" w:w="1849"/>
            <w:tcBorders>
              <w:bottom w:val="single" w:sz="4" w:space="0" w:color="DFE7E3"/>
            </w:tcBorders>
            <w:shd w:val="clear" w:color="auto" w:fill="EEF2F1"/>
          </w:tcPr>
          <w:p>
            <w:r>
              <w:rPr>
                <w:b/>
                <w:i w:val="0"/>
                <w:color w:val="62726D"/>
                <w:sz w:val="17"/>
              </w:rPr>
              <w:t>Faible</w:t>
            </w:r>
          </w:p>
        </w:tc>
        <w:tc>
          <w:tcPr>
            <w:tcW w:type="dxa" w:w="1513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0.17</w:t>
            </w:r>
          </w:p>
        </w:tc>
        <w:tc>
          <w:tcPr>
            <w:tcW w:type="dxa" w:w="3025"/>
            <w:tcBorders>
              <w:bottom w:val="single" w:sz="4" w:space="0" w:color="DFE7E3"/>
            </w:tcBorders>
          </w:tcPr>
          <w:p>
            <w:pPr>
              <w:jc w:val="right"/>
            </w:pPr>
            <w:r>
              <w:rPr>
                <w:b w:val="0"/>
                <w:i w:val="0"/>
                <w:color w:val="33403B"/>
                <w:sz w:val="18"/>
              </w:rPr>
              <w:t>2 / 1 / 3 / 4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4. </w:t>
      </w:r>
      <w:r>
        <w:rPr>
          <w:b/>
          <w:i w:val="0"/>
          <w:color w:val="0C2317"/>
          <w:sz w:val="28"/>
        </w:rPr>
        <w:t>Plan d'action &amp; traitement</w:t>
      </w:r>
    </w:p>
    <w:p>
      <w:pPr>
        <w:spacing w:after="120"/>
      </w:pPr>
      <w:r>
        <w:rPr>
          <w:b w:val="0"/>
          <w:i w:val="0"/>
          <w:color w:val="33403B"/>
          <w:sz w:val="20"/>
        </w:rPr>
        <w:t>Chaque mesure ci-dessous répond à un scénario ou à un écart constaté au chapitre 2.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4.1 Mesures priorisées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98"/>
        <w:gridCol w:w="1711"/>
        <w:gridCol w:w="1882"/>
        <w:gridCol w:w="4620"/>
      </w:tblGrid>
      <w:tr>
        <w:tc>
          <w:tcPr>
            <w:tcW w:type="dxa" w:w="119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1711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Priorité</w:t>
            </w:r>
          </w:p>
        </w:tc>
        <w:tc>
          <w:tcPr>
            <w:tcW w:type="dxa" w:w="188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Axe</w:t>
            </w:r>
          </w:p>
        </w:tc>
        <w:tc>
          <w:tcPr>
            <w:tcW w:type="dxa" w:w="462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Mesure de traitement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REM-01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EAED"/>
          </w:tcPr>
          <w:p>
            <w:r>
              <w:rPr>
                <w:b/>
                <w:i w:val="0"/>
                <w:color w:val="A3243C"/>
                <w:sz w:val="17"/>
              </w:rPr>
              <w:t>Critique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Protection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Segmenter le réseau OT du réseau bureautique (pare-feu industriel, flux autorisés en liste blanche) — traite SO-01 et SO-02.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REM-02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EAED"/>
          </w:tcPr>
          <w:p>
            <w:r>
              <w:rPr>
                <w:b/>
                <w:i w:val="0"/>
                <w:color w:val="A3243C"/>
                <w:sz w:val="17"/>
              </w:rPr>
              <w:t>Critique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Résilience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Mettre en place une sauvegarde immuable hors site et tester la restauration complète du MES — traite ER-01.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REM-03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EAED"/>
          </w:tcPr>
          <w:p>
            <w:r>
              <w:rPr>
                <w:b/>
                <w:i w:val="0"/>
                <w:color w:val="A3243C"/>
                <w:sz w:val="17"/>
              </w:rPr>
              <w:t>Critique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Protection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Généraliser le MFA à tous les comptes M365 et VPN, y compris prestataires — traite SO-01 et SO-02.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REM-04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F3E0"/>
          </w:tcPr>
          <w:p>
            <w:r>
              <w:rPr>
                <w:b/>
                <w:i w:val="0"/>
                <w:color w:val="8A5B00"/>
                <w:sz w:val="17"/>
              </w:rPr>
              <w:t>Élevé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Défense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Déployer un EDR sur les 168 postes et les serveurs, avec supervision — traite SO-01.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REM-05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F3E0"/>
          </w:tcPr>
          <w:p>
            <w:r>
              <w:rPr>
                <w:b/>
                <w:i w:val="0"/>
                <w:color w:val="8A5B00"/>
                <w:sz w:val="17"/>
              </w:rPr>
              <w:t>Élevé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Protection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Restreindre l'accès au NAS R&amp;D par groupe AD et bloquer les périphériques USB par GPO — traite SO-03.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REM-06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FDF3E0"/>
          </w:tcPr>
          <w:p>
            <w:r>
              <w:rPr>
                <w:b/>
                <w:i w:val="0"/>
                <w:color w:val="8A5B00"/>
                <w:sz w:val="17"/>
              </w:rPr>
              <w:t>Élevé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Gouvernance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Faire adopter la PSSI par la direction et nommer un référent sécurité à temps partiel — aucune gouvernance formalisée à ce jour.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REM-07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E8F4FD"/>
          </w:tcPr>
          <w:p>
            <w:r>
              <w:rPr>
                <w:b/>
                <w:i w:val="0"/>
                <w:color w:val="1D5F88"/>
                <w:sz w:val="17"/>
              </w:rPr>
              <w:t>Moyen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Défense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Centraliser les journaux (AD, pare-feu, M365, NVR) avec une rétention de 12 mois — traite SO-04 et conditionne toute investigation.</w:t>
            </w:r>
          </w:p>
        </w:tc>
      </w:tr>
      <w:tr>
        <w:tc>
          <w:tcPr>
            <w:tcW w:type="dxa" w:w="119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REM-08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  <w:shd w:val="clear" w:color="auto" w:fill="E8F4FD"/>
          </w:tcPr>
          <w:p>
            <w:r>
              <w:rPr>
                <w:b/>
                <w:i w:val="0"/>
                <w:color w:val="1D5F88"/>
                <w:sz w:val="17"/>
              </w:rPr>
              <w:t>Moyen</w:t>
            </w:r>
          </w:p>
        </w:tc>
        <w:tc>
          <w:tcPr>
            <w:tcW w:type="dxa" w:w="188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Gouvernance</w:t>
            </w:r>
          </w:p>
        </w:tc>
        <w:tc>
          <w:tcPr>
            <w:tcW w:type="dxa" w:w="462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Mettre en place une revue trimestrielle des accès et un processus de départ salarié — traite SO-03.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4.1bis Pilotage (responsable, échéance, statut)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7"/>
        <w:gridCol w:w="2396"/>
        <w:gridCol w:w="1711"/>
        <w:gridCol w:w="1711"/>
        <w:gridCol w:w="2567"/>
      </w:tblGrid>
      <w:tr>
        <w:tc>
          <w:tcPr>
            <w:tcW w:type="dxa" w:w="1027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39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Responsable</w:t>
            </w:r>
          </w:p>
        </w:tc>
        <w:tc>
          <w:tcPr>
            <w:tcW w:type="dxa" w:w="1711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Échéance</w:t>
            </w:r>
          </w:p>
        </w:tc>
        <w:tc>
          <w:tcPr>
            <w:tcW w:type="dxa" w:w="1711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Statut</w:t>
            </w:r>
          </w:p>
        </w:tc>
        <w:tc>
          <w:tcPr>
            <w:tcW w:type="dxa" w:w="2567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Coût estimé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REM-01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2026-09-30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En cours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Moyen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REM-02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2026-09-15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Fait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Léger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REM-03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2026-09-01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En cours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Léger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REM-04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2026-11-30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Élevé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REM-05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2026-09-30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Négligeable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REM-06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Direction Générale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2026-10-15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Négligeable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REM-07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RSSI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2026-12-15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Moyen</w:t>
            </w:r>
          </w:p>
        </w:tc>
      </w:tr>
      <w:tr>
        <w:tc>
          <w:tcPr>
            <w:tcW w:type="dxa" w:w="102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REM-08</w:t>
            </w:r>
          </w:p>
        </w:tc>
        <w:tc>
          <w:tcPr>
            <w:tcW w:type="dxa" w:w="239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RSSI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2026-10-01</w:t>
            </w:r>
          </w:p>
        </w:tc>
        <w:tc>
          <w:tcPr>
            <w:tcW w:type="dxa" w:w="1711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À faire</w:t>
            </w:r>
          </w:p>
        </w:tc>
        <w:tc>
          <w:tcPr>
            <w:tcW w:type="dxa" w:w="2567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Négligeable</w:t>
            </w:r>
          </w:p>
        </w:tc>
      </w:tr>
    </w:tbl>
    <w:p/>
    <w:p>
      <w:pPr>
        <w:spacing w:before="200" w:after="40"/>
      </w:pPr>
      <w:r>
        <w:rPr>
          <w:b/>
          <w:i w:val="0"/>
          <w:color w:val="0C2317"/>
          <w:sz w:val="21"/>
        </w:rPr>
        <w:t>4.2 Actions immédiates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Activer le MFA sur la messagerie et le VPN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Changer les mots de passe d'administration par défaut des automates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Sortir une copie de sauvegarde du VLAN de production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Sensibiliser les 204 salariés à l'hameçonnage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Appliquer les correctifs critiques en attente sur les 2 contrôleurs de domaine</w:t>
      </w:r>
    </w:p>
    <w:p>
      <w:pPr>
        <w:pStyle w:val="ListNumber"/>
      </w:pPr>
      <w:r>
        <w:rPr>
          <w:b w:val="0"/>
          <w:i w:val="0"/>
          <w:color w:val="33403B"/>
          <w:sz w:val="19"/>
        </w:rPr>
        <w:t>Retirer les droits d'administrateur local aux utilisateurs standards</w:t>
      </w:r>
    </w:p>
    <w:sectPr w:rsidR="00FC693F" w:rsidRPr="0006063C" w:rsidSect="00034616">
      <w:footerReference w:type="default" r:id="rId10"/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33403B"/>
        <w:sz w:val="14"/>
      </w:rPr>
      <w:t>GREEN SHIELD — Cabinet non renseigné · Document confidentiel, ne pas diffuser sans autorisation écrite.</w:t>
    </w:r>
  </w:p>
  <w:p>
    <w:pPr>
      <w:jc w:val="center"/>
    </w:pPr>
    <w:r>
      <w:rPr>
        <w:b w:val="0"/>
        <w:i w:val="0"/>
        <w:color w:val="33403B"/>
        <w:sz w:val="13"/>
      </w:rPr>
      <w:t>Empreinte SHA-256 de l'état de la mission à l'édition : 3f13820ef901ac4680d862d6e113c1c9e43cdc87a055423bf6e3d5c0c1e27177</w:t>
    </w:r>
  </w:p>
  <w:p>
    <w:pPr>
      <w:jc w:val="center"/>
    </w:pPr>
    <w:r>
      <w:rPr>
        <w:b w:val="0"/>
        <w:i/>
        <w:color w:val="33403B"/>
        <w:sz w:val="13"/>
      </w:rPr>
      <w:t>Toute modification ultérieure de la mission, même rétablie, produit une empreinte différente.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