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d'impact relative à la protection des données (AIPD / PIA)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DPO : </w:t>
            </w:r>
            <w:r>
              <w:rPr>
                <w:b/>
                <w:i w:val="0"/>
                <w:color w:val="EAF4F0"/>
                <w:sz w:val="17"/>
              </w:rPr>
              <w:t>Enregistré au registre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Registre des activités de traitement (RGPD Art. 30)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Analyse d'impact systématique (PIA)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Obligations organisationnelles (conduite de l'AIPD)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Registre des activités de traitement (RGPD Art. 30)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90"/>
        <w:gridCol w:w="2035"/>
        <w:gridCol w:w="2544"/>
        <w:gridCol w:w="2289"/>
        <w:gridCol w:w="1653"/>
      </w:tblGrid>
      <w:tr>
        <w:tc>
          <w:tcPr>
            <w:tcW w:type="dxa" w:w="89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3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Activité de traitement</w:t>
            </w:r>
          </w:p>
        </w:tc>
        <w:tc>
          <w:tcPr>
            <w:tcW w:type="dxa" w:w="254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Finalité</w:t>
            </w:r>
          </w:p>
        </w:tc>
        <w:tc>
          <w:tcPr>
            <w:tcW w:type="dxa" w:w="2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Catégories de données</w:t>
            </w:r>
          </w:p>
        </w:tc>
        <w:tc>
          <w:tcPr>
            <w:tcW w:type="dxa" w:w="16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Conservation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RGPD-01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Gestion administrative du personnel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Exécution du contrat de travail, paie, obligations sociales.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Identité, coordonnées, RIB, situation familiale, arrêts de travail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Durée du contrat + 5 ans (prescription prud'homale)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RGPD-02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Vidéoprotection des accès ateliers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Sécurité des personnes et protection du secret industriel.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Images des salariés et visiteurs aux 6 points d'accès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30 jours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RGPD-03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 la santé au travail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des expositions aux résines époxy (obligation employeur).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de santé, résultats d'examens médicaux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40 ans après la fin d'exposition (Code du travail)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1.bis Registre des violations de données (Art. 33-34)</w:t>
      </w:r>
    </w:p>
    <w:p>
      <w:r>
        <w:rPr>
          <w:b w:val="0"/>
          <w:i/>
          <w:color w:val="6B7F78"/>
          <w:sz w:val="18"/>
        </w:rPr>
        <w:t>Aucune violation de données n'a été constatée sur cette mission.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Analyse d'impact systématique (PIA)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Description systématique du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Vidéoprotection continue des 6 accès aux ateliers et au laboratoire R&amp;D, avec conservation 30 jours et consultation restreinte à deux personnes habilitées. Finalité double : sécurité des personnes (machines dangereuses) et protection du secret industriel.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2.2 Évaluation de la nécessité et de la proportionnalité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La protection du secret industriel justifie un contrôle des accès au laboratoire, mais la vidéoprotection continue des postes de travail en atelier excède ce qui est nécessaire : le champ des caméras 3 et 4 a été réduit aux seules zones de passage, et l'enregistrement audio désactivé.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Évaluation des risques sur les droits et libertés des personnes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Origine : accès illégitime d'un tiers au NVR, exposé sur le même VLAN que la bureautique. Risque : surveillance permanente de salariés identifiables (gravité Élevée, vraisemblance Moyenne au vu de l'absence de segmentation). Impact sur les personnes : sentiment de surveillance constante, détournement possible à des fins disciplinaires.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2.4 Mesures de traitement et de sécurité envisagées (atténuation)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Segmentation du NVR sur un VLAN dédié, authentification nominative des deux habilités avec journalisation des consultations, réduction du champ des caméras 3 et 4, affichage et information des salariés, consultation du CSE actée en séance du 12/06/2026.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Obligations organisationnelles (conduite de l'AIPD)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36"/>
        <w:gridCol w:w="1822"/>
        <w:gridCol w:w="1518"/>
        <w:gridCol w:w="3036"/>
      </w:tblGrid>
      <w:tr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Obligation</w:t>
            </w:r>
          </w:p>
        </w:tc>
        <w:tc>
          <w:tcPr>
            <w:tcW w:type="dxa" w:w="18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Référence</w:t>
            </w:r>
          </w:p>
        </w:tc>
        <w:tc>
          <w:tcPr>
            <w:tcW w:type="dxa" w:w="15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État</w:t>
            </w:r>
          </w:p>
        </w:tc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Commentaire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du délégué à la protection des données recueilli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§2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DPO externe mutualisé — avis favorable rendu le 18/06/2026 sous réserve de la réduction du champ des caméras.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des personnes concernées recueilli (ou motif de non-consultation)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§9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CSE consulté le 12/06/2026, avis favorable ; note d'information remise aux 204 salariés.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Confrontation aux listes CNIL des traitements soumis / exemptés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§4-5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Traitement figurant sur la liste CNIL des traitements soumis à AIPD (surveillance systématique de personnes sur un lieu de travail).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prévu à chaque évolution du niveau de risque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§11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déclenché par tout ajout de caméra, toute extension de durée de conservation, ou au plus tard le 30/06/2028.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Consultation préalable de la CNIL avant mise en œuvre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36 §1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 applicable (risque résiduel non élevé)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—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 de validation conformité CNIL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Avis du Délégué à la Protection des Données (DPO)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Validation du Responsable du Traitement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favorable / non favorable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Validé pour mise en œuvre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3f13820ef901ac4680d862d6e113c1c9e43cdc87a055423bf6e3d5c0c1e27177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