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trHeight w:val="14571" w:hRule="atLeast"/>
        </w:trPr>
        <w:tc>
          <w:tcPr>
            <w:tcW w:type="dxa" w:w="9412"/>
            <w:vAlign w:val="center"/>
            <w:shd w:val="clear" w:color="auto" w:fill="04150E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84000" cy="68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6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FFFFFF"/>
                <w:sz w:val="26"/>
              </w:rPr>
              <w:t>GREEN SHIELD</w:t>
            </w:r>
          </w:p>
          <w:p>
            <w:pPr>
              <w:jc w:val="center"/>
            </w:pPr>
            <w:r>
              <w:rPr>
                <w:b w:val="0"/>
                <w:i/>
                <w:color w:val="7BF3C8"/>
                <w:sz w:val="18"/>
              </w:rPr>
              <w:t>Cabinet non renseigné</w:t>
            </w:r>
          </w:p>
          <w:p>
            <w:pPr>
              <w:spacing w:before="560"/>
              <w:jc w:val="center"/>
            </w:pPr>
            <w:r>
              <w:rPr>
                <w:b/>
                <w:i w:val="0"/>
                <w:color w:val="FFFFFF"/>
                <w:sz w:val="44"/>
              </w:rPr>
              <w:t>Analyse de risques cyber (orientation EBIOS RM)</w:t>
            </w:r>
          </w:p>
          <w:p>
            <w:pPr>
              <w:spacing w:before="120"/>
              <w:jc w:val="center"/>
            </w:pPr>
            <w:r>
              <w:rPr>
                <w:b/>
                <w:i w:val="0"/>
                <w:color w:val="2EE6A0"/>
                <w:sz w:val="28"/>
              </w:rPr>
              <w:t>Banque Aurore SA</w:t>
            </w:r>
          </w:p>
          <w:p>
            <w:pPr>
              <w:jc w:val="center"/>
            </w:pPr>
            <w:r>
              <w:rPr>
                <w:b w:val="0"/>
                <w:i w:val="0"/>
                <w:color w:val="A8C6BC"/>
                <w:sz w:val="20"/>
              </w:rPr>
              <w:t>Audit de conformité ISO 27001 &amp; DORA</w:t>
            </w:r>
          </w:p>
          <w:p>
            <w:pPr>
              <w:spacing w:before="400"/>
              <w:jc w:val="center"/>
            </w:pPr>
            <w:r>
              <w:rPr>
                <w:b w:val="0"/>
                <w:i w:val="0"/>
                <w:color w:val="8FB3A8"/>
                <w:sz w:val="17"/>
              </w:rPr>
              <w:t xml:space="preserve">Réf. mission : </w:t>
            </w:r>
            <w:r>
              <w:rPr>
                <w:b/>
                <w:i w:val="0"/>
                <w:color w:val="EAF4F0"/>
                <w:sz w:val="17"/>
              </w:rPr>
              <w:t>audit_de_conformite_iso_27001_et_dora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Méthode : </w:t>
            </w:r>
            <w:r>
              <w:rPr>
                <w:b/>
                <w:i w:val="0"/>
                <w:color w:val="EAF4F0"/>
                <w:sz w:val="17"/>
              </w:rPr>
              <w:t>EBIOS RM · ANSSI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Auditeur : </w:t>
            </w:r>
            <w:r>
              <w:rPr>
                <w:b/>
                <w:i w:val="0"/>
                <w:color w:val="EAF4F0"/>
                <w:sz w:val="17"/>
              </w:rPr>
              <w:t>—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Cabinet : </w:t>
            </w:r>
            <w:r>
              <w:rPr>
                <w:b/>
                <w:i w:val="0"/>
                <w:color w:val="EAF4F0"/>
                <w:sz w:val="17"/>
              </w:rPr>
              <w:t>Cabinet non renseigné</w:t>
            </w:r>
            <w:r>
              <w:rPr>
                <w:color w:val="3E5A50"/>
              </w:rPr>
              <w:t xml:space="preserve">    ·    </w:t>
            </w:r>
            <w:r>
              <w:rPr>
                <w:b w:val="0"/>
                <w:i w:val="0"/>
                <w:color w:val="8FB3A8"/>
                <w:sz w:val="17"/>
              </w:rPr>
              <w:t xml:space="preserve">Édité le : </w:t>
            </w:r>
            <w:r>
              <w:rPr>
                <w:b/>
                <w:i w:val="0"/>
                <w:color w:val="EAF4F0"/>
                <w:sz w:val="17"/>
              </w:rPr>
              <w:t>31/07/2026</w:t>
            </w:r>
          </w:p>
          <w:p>
            <w:pPr>
              <w:spacing w:before="360"/>
              <w:jc w:val="center"/>
            </w:pPr>
            <w:r>
              <w:rPr>
                <w:b/>
                <w:i w:val="0"/>
                <w:color w:val="7BF3C8"/>
                <w:sz w:val="16"/>
              </w:rPr>
              <w:t xml:space="preserve">  DOCUMENT CONFIDENTIEL — DIFFUSION RESTREINTE  </w:t>
            </w:r>
          </w:p>
        </w:tc>
      </w:tr>
    </w:tbl>
    <w:p>
      <w:r>
        <w:br w:type="page"/>
      </w:r>
    </w:p>
    <w:p>
      <w:pPr>
        <w:spacing w:after="160"/>
      </w:pPr>
      <w:r>
        <w:rPr>
          <w:b/>
          <w:i w:val="0"/>
          <w:color w:val="0C2317"/>
          <w:sz w:val="26"/>
        </w:rPr>
        <w:t>Sommaire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1.  </w:t>
      </w:r>
      <w:r>
        <w:rPr>
          <w:b w:val="0"/>
          <w:i w:val="0"/>
          <w:color w:val="33403B"/>
          <w:sz w:val="20"/>
        </w:rPr>
        <w:t>Cadrage et identification du patrimoine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2.  </w:t>
      </w:r>
      <w:r>
        <w:rPr>
          <w:b w:val="0"/>
          <w:i w:val="0"/>
          <w:color w:val="33403B"/>
          <w:sz w:val="20"/>
        </w:rPr>
        <w:t>Cartographie des menaces &amp; scénarios EBIOS RM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3.  </w:t>
      </w:r>
      <w:r>
        <w:rPr>
          <w:b w:val="0"/>
          <w:i w:val="0"/>
          <w:color w:val="33403B"/>
          <w:sz w:val="20"/>
        </w:rPr>
        <w:t>Écosystème et risques tiers</w:t>
      </w:r>
    </w:p>
    <w:p>
      <w:pPr>
        <w:spacing w:after="40"/>
      </w:pPr>
      <w:r>
        <w:rPr>
          <w:b w:val="0"/>
          <w:i w:val="0"/>
          <w:color w:val="2EE6A0"/>
          <w:sz w:val="20"/>
        </w:rPr>
        <w:t xml:space="preserve">4.  </w:t>
      </w:r>
      <w:r>
        <w:rPr>
          <w:b w:val="0"/>
          <w:i w:val="0"/>
          <w:color w:val="33403B"/>
          <w:sz w:val="20"/>
        </w:rPr>
        <w:t>Plan d'action &amp; traitement</w:t>
      </w:r>
    </w:p>
    <w:p>
      <w:r>
        <w:br w:type="page"/>
      </w:r>
    </w:p>
    <w:p>
      <w:pPr>
        <w:spacing w:before="8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1. </w:t>
      </w:r>
      <w:r>
        <w:rPr>
          <w:b/>
          <w:i w:val="0"/>
          <w:color w:val="0C2317"/>
          <w:sz w:val="28"/>
        </w:rPr>
        <w:t>Cadrage et identification du patrimoine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Ce chapitre identifie le périmètre d'évaluation, les missions fondamentales de l'entreprise et cartographie le patrimoine d'actifs.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1.1 Valeurs métier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98"/>
        <w:gridCol w:w="2282"/>
        <w:gridCol w:w="4278"/>
        <w:gridCol w:w="1854"/>
      </w:tblGrid>
      <w:tr>
        <w:tc>
          <w:tcPr>
            <w:tcW w:type="dxa" w:w="9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28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Valeur métier</w:t>
            </w:r>
          </w:p>
        </w:tc>
        <w:tc>
          <w:tcPr>
            <w:tcW w:type="dxa" w:w="427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Description</w:t>
            </w:r>
          </w:p>
        </w:tc>
        <w:tc>
          <w:tcPr>
            <w:tcW w:type="dxa" w:w="185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Données personnelles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VM-01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Comptes et soldes clients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Registre des positions clients, cœur du système bancaire.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VM-02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Service de paiement instantané (SCT Inst)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Fonction critique au sens DORA — indisponibilité immédiatement visible du client.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VM-03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Dossiers de crédit et scoring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Décisions automatisées avec effet juridique (RGPD Art. 22).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  <w:tr>
        <w:tc>
          <w:tcPr>
            <w:tcW w:type="dxa" w:w="9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VM-04</w:t>
            </w:r>
          </w:p>
        </w:tc>
        <w:tc>
          <w:tcPr>
            <w:tcW w:type="dxa" w:w="22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Piste d'audit réglementaire</w:t>
            </w:r>
          </w:p>
        </w:tc>
        <w:tc>
          <w:tcPr>
            <w:tcW w:type="dxa" w:w="427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Traçabilité exigée par l'ACPR, intégrité opposable.</w:t>
            </w:r>
          </w:p>
        </w:tc>
        <w:tc>
          <w:tcPr>
            <w:tcW w:type="dxa" w:w="185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Oui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1.2 Biens supports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03"/>
        <w:gridCol w:w="2063"/>
        <w:gridCol w:w="1289"/>
        <w:gridCol w:w="3352"/>
        <w:gridCol w:w="1805"/>
      </w:tblGrid>
      <w:tr>
        <w:tc>
          <w:tcPr>
            <w:tcW w:type="dxa" w:w="90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06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Bien support</w:t>
            </w:r>
          </w:p>
        </w:tc>
        <w:tc>
          <w:tcPr>
            <w:tcW w:type="dxa" w:w="1289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Type</w:t>
            </w:r>
          </w:p>
        </w:tc>
        <w:tc>
          <w:tcPr>
            <w:tcW w:type="dxa" w:w="335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Description</w:t>
            </w:r>
          </w:p>
        </w:tc>
        <w:tc>
          <w:tcPr>
            <w:tcW w:type="dxa" w:w="18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Responsable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BS-01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Core banking system (éditeur externe)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Progiciel hébergé chez l'éditeur, version N-1.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BS-02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Plateforme de paiement SCT Inst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Interconnexion STET, disponibilité 24/7 exigée.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Directeur des Paiements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BS-03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Datacenter principal et site de repli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Matériel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Deux sites actifs/passifs distants de 40 km.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Responsable Production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BS-04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SIEM et collecte de journaux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Collecte 380 sources, rétention 12 mois.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</w:tr>
      <w:tr>
        <w:tc>
          <w:tcPr>
            <w:tcW w:type="dxa" w:w="90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BS-05</w:t>
            </w:r>
          </w:p>
        </w:tc>
        <w:tc>
          <w:tcPr>
            <w:tcW w:type="dxa" w:w="206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Poste de travail et messagerie (M365)</w:t>
            </w:r>
          </w:p>
        </w:tc>
        <w:tc>
          <w:tcPr>
            <w:tcW w:type="dxa" w:w="1289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Logiciel</w:t>
            </w:r>
          </w:p>
        </w:tc>
        <w:tc>
          <w:tcPr>
            <w:tcW w:type="dxa" w:w="335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640 postes, MFA généralisé, EDR déployé.</w:t>
            </w:r>
          </w:p>
        </w:tc>
        <w:tc>
          <w:tcPr>
            <w:tcW w:type="dxa" w:w="18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2. </w:t>
      </w:r>
      <w:r>
        <w:rPr>
          <w:b/>
          <w:i w:val="0"/>
          <w:color w:val="0C2317"/>
          <w:sz w:val="28"/>
        </w:rPr>
        <w:t>Cartographie des menaces &amp; scénarios EBIOS RM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2.1 Événements redoutés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98"/>
        <w:gridCol w:w="3137"/>
        <w:gridCol w:w="1255"/>
        <w:gridCol w:w="3922"/>
      </w:tblGrid>
      <w:tr>
        <w:tc>
          <w:tcPr>
            <w:tcW w:type="dxa" w:w="10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313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Événement redouté</w:t>
            </w:r>
          </w:p>
        </w:tc>
        <w:tc>
          <w:tcPr>
            <w:tcW w:type="dxa" w:w="1255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Gravité</w:t>
            </w:r>
          </w:p>
        </w:tc>
        <w:tc>
          <w:tcPr>
            <w:tcW w:type="dxa" w:w="392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Impacts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ER-01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Indisponibilité prolongée du paiement instantané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Fonction critique DORA interrompue, notification ACPR sous 4 h, atteinte de réputation immédiate.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ER-02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Altération de l'intégrité des soldes clients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Perte de confiance systémique, reconstitution manuelle, risque prudentiel.</w:t>
            </w:r>
          </w:p>
        </w:tc>
      </w:tr>
      <w:tr>
        <w:tc>
          <w:tcPr>
            <w:tcW w:type="dxa" w:w="10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ER-03</w:t>
            </w:r>
          </w:p>
        </w:tc>
        <w:tc>
          <w:tcPr>
            <w:tcW w:type="dxa" w:w="313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Fuite du fichier clients (210 000 personnes)</w:t>
            </w:r>
          </w:p>
        </w:tc>
        <w:tc>
          <w:tcPr>
            <w:tcW w:type="dxa" w:w="1255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392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Notification CNIL sous 72 h et information individuelle, sanction possible, action de groupe.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2.2 Sources de risque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402"/>
        <w:gridCol w:w="4005"/>
        <w:gridCol w:w="4005"/>
      </w:tblGrid>
      <w:tr>
        <w:tc>
          <w:tcPr>
            <w:tcW w:type="dxa" w:w="140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40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Source de risque</w:t>
            </w:r>
          </w:p>
        </w:tc>
        <w:tc>
          <w:tcPr>
            <w:tcW w:type="dxa" w:w="400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Objectif visé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SR-01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Groupe criminel spécialisé secteur financier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Fraude au virement et extorsion.</w:t>
            </w:r>
          </w:p>
        </w:tc>
      </w:tr>
      <w:tr>
        <w:tc>
          <w:tcPr>
            <w:tcW w:type="dxa" w:w="140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SR-02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Compromission de la chaîne d'approvisionnement (éditeur core banking)</w:t>
            </w:r>
          </w:p>
        </w:tc>
        <w:tc>
          <w:tcPr>
            <w:tcW w:type="dxa" w:w="400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Accès indirect au SI bancaire via une mise à jour piégée.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2.3 Scénarios opérationnels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41"/>
        <w:gridCol w:w="3496"/>
        <w:gridCol w:w="740"/>
        <w:gridCol w:w="740"/>
        <w:gridCol w:w="3496"/>
      </w:tblGrid>
      <w:tr>
        <w:tc>
          <w:tcPr>
            <w:tcW w:type="dxa" w:w="94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34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Scénario opérationnel</w:t>
            </w:r>
          </w:p>
        </w:tc>
        <w:tc>
          <w:tcPr>
            <w:tcW w:type="dxa" w:w="740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G</w:t>
            </w:r>
          </w:p>
        </w:tc>
        <w:tc>
          <w:tcPr>
            <w:tcW w:type="dxa" w:w="740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V</w:t>
            </w:r>
          </w:p>
        </w:tc>
        <w:tc>
          <w:tcPr>
            <w:tcW w:type="dxa" w:w="34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Mesure d'atténuation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SO-01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Mise à jour piégée du core banking (BS-01) livrée par l'éditeur → exécution en production → accès aux comptes clients (VM-01) et altération des soldes.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Vérification d'intégrité des livraisons éditeur, environnement de pré-production isolé, revue de code des correctifs critiques.</w:t>
            </w:r>
          </w:p>
        </w:tc>
      </w:tr>
      <w:tr>
        <w:tc>
          <w:tcPr>
            <w:tcW w:type="dxa" w:w="94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SO-02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Saturation volumétrique de la plateforme SCT Inst (BS-02) via l'interconnexion STET → indisponibilité de la fonction critique DORA.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</w:t>
            </w:r>
          </w:p>
        </w:tc>
        <w:tc>
          <w:tcPr>
            <w:tcW w:type="dxa" w:w="740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3/5</w:t>
            </w:r>
          </w:p>
        </w:tc>
        <w:tc>
          <w:tcPr>
            <w:tcW w:type="dxa" w:w="34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Limitation de débit en amont, bascule sur le site de repli testée trimestriellement, procédure de dégradation maîtrisée.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2.3bis Traitement des risques (propriétaire, résiduel, décision)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243"/>
        <w:gridCol w:w="2664"/>
        <w:gridCol w:w="1776"/>
        <w:gridCol w:w="1953"/>
        <w:gridCol w:w="1776"/>
      </w:tblGrid>
      <w:tr>
        <w:tc>
          <w:tcPr>
            <w:tcW w:type="dxa" w:w="124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664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Propriétaire</w:t>
            </w:r>
          </w:p>
        </w:tc>
        <w:tc>
          <w:tcPr>
            <w:tcW w:type="dxa" w:w="177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Résiduel (G/V)</w:t>
            </w:r>
          </w:p>
        </w:tc>
        <w:tc>
          <w:tcPr>
            <w:tcW w:type="dxa" w:w="1953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Stratégie</w:t>
            </w:r>
          </w:p>
        </w:tc>
        <w:tc>
          <w:tcPr>
            <w:tcW w:type="dxa" w:w="177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Statut</w:t>
            </w:r>
          </w:p>
        </w:tc>
      </w:tr>
      <w:tr>
        <w:tc>
          <w:tcPr>
            <w:tcW w:type="dxa" w:w="124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SO-01</w:t>
            </w:r>
          </w:p>
        </w:tc>
        <w:tc>
          <w:tcPr>
            <w:tcW w:type="dxa" w:w="266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3/1</w:t>
            </w:r>
          </w:p>
        </w:tc>
        <w:tc>
          <w:tcPr>
            <w:tcW w:type="dxa" w:w="19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Réduire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 traitement</w:t>
            </w:r>
          </w:p>
        </w:tc>
      </w:tr>
      <w:tr>
        <w:tc>
          <w:tcPr>
            <w:tcW w:type="dxa" w:w="124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SO-02</w:t>
            </w:r>
          </w:p>
        </w:tc>
        <w:tc>
          <w:tcPr>
            <w:tcW w:type="dxa" w:w="2664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Directeur des Paiements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3/2</w:t>
            </w:r>
          </w:p>
        </w:tc>
        <w:tc>
          <w:tcPr>
            <w:tcW w:type="dxa" w:w="1953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Réduire</w:t>
            </w:r>
          </w:p>
        </w:tc>
        <w:tc>
          <w:tcPr>
            <w:tcW w:type="dxa" w:w="177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Ouvert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2.4 Cas réels versés au dossier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12"/>
        <w:gridCol w:w="6400"/>
      </w:tblGrid>
      <w:tr>
        <w:tc>
          <w:tcPr>
            <w:tcW w:type="dxa" w:w="301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Cas réel</w:t>
            </w:r>
          </w:p>
        </w:tc>
        <w:tc>
          <w:tcPr>
            <w:tcW w:type="dxa" w:w="640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Enseignement retenu pour ce client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Incident SolarWinds (2020)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La chaîne d'approvisionnement logicielle est un vecteur d'entrée légitime et signé — d'où l'exigence DORA de registre des prestataires.</w:t>
            </w:r>
          </w:p>
        </w:tc>
      </w:tr>
      <w:tr>
        <w:tc>
          <w:tcPr>
            <w:tcW w:type="dxa" w:w="301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Panne TSB (2018) — migration bancaire</w:t>
            </w:r>
          </w:p>
        </w:tc>
        <w:tc>
          <w:tcPr>
            <w:tcW w:type="dxa" w:w="640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Une bascule mal testée coûte plus cher qu'une attaque : le test de bascule est une exigence, pas une bonne pratique.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3. </w:t>
      </w:r>
      <w:r>
        <w:rPr>
          <w:b/>
          <w:i w:val="0"/>
          <w:color w:val="0C2317"/>
          <w:sz w:val="28"/>
        </w:rPr>
        <w:t>Écosystème et risques tiers</w:t>
      </w:r>
    </w:p>
    <w:p>
      <w:r>
        <w:rPr>
          <w:b w:val="0"/>
          <w:i w:val="0"/>
          <w:color w:val="6B7F78"/>
          <w:sz w:val="18"/>
        </w:rPr>
        <w:t>Ce volet ne produit aucun score de risque : ni DORA ni NIS2 ne se réclament d'EBIOS RM. La conformité se démontre par des preuves.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80"/>
        <w:gridCol w:w="2567"/>
        <w:gridCol w:w="3765"/>
      </w:tblGrid>
      <w:tr>
        <w:tc>
          <w:tcPr>
            <w:tcW w:type="dxa" w:w="308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Prestataire</w:t>
            </w:r>
          </w:p>
        </w:tc>
        <w:tc>
          <w:tcPr>
            <w:tcW w:type="dxa" w:w="2567"/>
            <w:shd w:val="clear" w:color="auto" w:fill="F2FBF7"/>
            <w:tcBorders>
              <w:bottom w:val="single" w:sz="6" w:space="0" w:color="C9DBD3"/>
            </w:tcBorders>
          </w:tcPr>
          <w:p>
            <w:pPr>
              <w:jc w:val="right"/>
            </w:pPr>
            <w:r>
              <w:rPr>
                <w:b/>
                <w:i w:val="0"/>
                <w:color w:val="0C2317"/>
                <w:sz w:val="16"/>
              </w:rPr>
              <w:t>Exigences satisfaites</w:t>
            </w:r>
          </w:p>
        </w:tc>
        <w:tc>
          <w:tcPr>
            <w:tcW w:type="dxa" w:w="3765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Écarts restants</w:t>
            </w:r>
          </w:p>
        </w:tc>
      </w:tr>
      <w:tr>
        <w:tc>
          <w:tcPr>
            <w:tcW w:type="dxa" w:w="308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Éditeur core banking (prestataire critique)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2/4 (50 %)</w:t>
            </w:r>
          </w:p>
        </w:tc>
        <w:tc>
          <w:tcPr>
            <w:tcW w:type="dxa" w:w="376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Clauses contractuelles obligatoires signées (DORA Art. 30) ; Stratégie de sortie documentée et testable</w:t>
            </w:r>
          </w:p>
        </w:tc>
      </w:tr>
      <w:tr>
        <w:tc>
          <w:tcPr>
            <w:tcW w:type="dxa" w:w="308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Opérateur d'interconnexion STET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4/4 (100 %)</w:t>
            </w:r>
          </w:p>
        </w:tc>
        <w:tc>
          <w:tcPr>
            <w:tcW w:type="dxa" w:w="376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Conforme</w:t>
            </w:r>
          </w:p>
        </w:tc>
      </w:tr>
      <w:tr>
        <w:tc>
          <w:tcPr>
            <w:tcW w:type="dxa" w:w="308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Hébergeur du site de repli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0/4 (0 %)</w:t>
            </w:r>
          </w:p>
        </w:tc>
        <w:tc>
          <w:tcPr>
            <w:tcW w:type="dxa" w:w="376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Inscrit au registre d'information (DORA Art. 28.3) ; Clauses contractuelles obligatoires signées (DORA Art. 30) ; Stratégie de sortie documentée et testable ; Évaluation réalisée avant acquisition (NIST ID.RA-10)</w:t>
            </w:r>
          </w:p>
        </w:tc>
      </w:tr>
      <w:tr>
        <w:tc>
          <w:tcPr>
            <w:tcW w:type="dxa" w:w="308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Prestataire d'infogérance poste de travail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pPr>
              <w:jc w:val="right"/>
            </w:pPr>
            <w:r>
              <w:rPr>
                <w:b w:val="0"/>
                <w:i w:val="0"/>
                <w:color w:val="33403B"/>
                <w:sz w:val="18"/>
              </w:rPr>
              <w:t>0/4 (0 %)</w:t>
            </w:r>
          </w:p>
        </w:tc>
        <w:tc>
          <w:tcPr>
            <w:tcW w:type="dxa" w:w="3765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Inscrit au registre d'information (DORA Art. 28.3) ; Clauses contractuelles obligatoires signées (DORA Art. 30) ; Stratégie de sortie documentée et testable ; Évaluation réalisée avant acquisition (NIST ID.RA-10)</w:t>
            </w:r>
          </w:p>
        </w:tc>
      </w:tr>
    </w:tbl>
    <w:p/>
    <w:p>
      <w:pPr>
        <w:spacing w:before="400" w:after="160"/>
        <w:pBdr>
          <w:bottom w:val="single" w:sz="16" w:space="4" w:color="2EE6A0"/>
        </w:pBdr>
      </w:pPr>
      <w:r>
        <w:rPr>
          <w:b/>
          <w:i w:val="0"/>
          <w:color w:val="2EE6A0"/>
          <w:sz w:val="28"/>
        </w:rPr>
        <w:t xml:space="preserve">4. </w:t>
      </w:r>
      <w:r>
        <w:rPr>
          <w:b/>
          <w:i w:val="0"/>
          <w:color w:val="0C2317"/>
          <w:sz w:val="28"/>
        </w:rPr>
        <w:t>Plan d'action &amp; traitement</w:t>
      </w:r>
    </w:p>
    <w:p>
      <w:pPr>
        <w:spacing w:after="120"/>
      </w:pPr>
      <w:r>
        <w:rPr>
          <w:b w:val="0"/>
          <w:i w:val="0"/>
          <w:color w:val="33403B"/>
          <w:sz w:val="20"/>
        </w:rPr>
        <w:t>Chaque mesure ci-dessous répond à un scénario ou à un écart constaté au chapitre 2.</w:t>
      </w:r>
    </w:p>
    <w:p>
      <w:pPr>
        <w:spacing w:before="200" w:after="40"/>
      </w:pPr>
      <w:r>
        <w:rPr>
          <w:b/>
          <w:i w:val="0"/>
          <w:color w:val="0C2317"/>
          <w:sz w:val="21"/>
        </w:rPr>
        <w:t>4.1 Mesures priorisées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98"/>
        <w:gridCol w:w="1711"/>
        <w:gridCol w:w="1882"/>
        <w:gridCol w:w="4620"/>
      </w:tblGrid>
      <w:tr>
        <w:tc>
          <w:tcPr>
            <w:tcW w:type="dxa" w:w="1198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Priorité</w:t>
            </w:r>
          </w:p>
        </w:tc>
        <w:tc>
          <w:tcPr>
            <w:tcW w:type="dxa" w:w="1882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Axe</w:t>
            </w:r>
          </w:p>
        </w:tc>
        <w:tc>
          <w:tcPr>
            <w:tcW w:type="dxa" w:w="4620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Mesure de traitement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REM-01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Formaliser la procédure de retrait des accès au départ et clôturer les 14 comptes actifs de sortants — écart ISO A.7.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REM-02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EAED"/>
          </w:tcPr>
          <w:p>
            <w:r>
              <w:rPr>
                <w:b/>
                <w:i w:val="0"/>
                <w:color w:val="A3243C"/>
                <w:sz w:val="17"/>
              </w:rPr>
              <w:t>Critique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Compléter le registre d'information DORA (Art. 28.3) pour les 3 prestataires critiques manquants avant l'échéance ACPR.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REM-03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Protection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Rapprocher l'inventaire des actifs du parc réel et intégrer les 37 serveurs découverts — écart ISO A.8.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REM-04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FDF3E0"/>
          </w:tcPr>
          <w:p>
            <w:r>
              <w:rPr>
                <w:b/>
                <w:i w:val="0"/>
                <w:color w:val="8A5B00"/>
                <w:sz w:val="17"/>
              </w:rPr>
              <w:t>Élevé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Gouvernance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Documenter et tester une stratégie de sortie pour le prestataire core banking — exigence DORA.</w:t>
            </w:r>
          </w:p>
        </w:tc>
      </w:tr>
      <w:tr>
        <w:tc>
          <w:tcPr>
            <w:tcW w:type="dxa" w:w="1198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  <w:shd w:val="clear" w:color="auto" w:fill="E8F4FD"/>
          </w:tcPr>
          <w:p>
            <w:r>
              <w:rPr>
                <w:b/>
                <w:i w:val="0"/>
                <w:color w:val="1D5F88"/>
                <w:sz w:val="17"/>
              </w:rPr>
              <w:t>Moyen</w:t>
            </w:r>
          </w:p>
        </w:tc>
        <w:tc>
          <w:tcPr>
            <w:tcW w:type="dxa" w:w="1882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Défense</w:t>
            </w:r>
          </w:p>
        </w:tc>
        <w:tc>
          <w:tcPr>
            <w:tcW w:type="dxa" w:w="4620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Étendre la collecte SIEM aux journaux applicatifs du core banking, aujourd'hui absents des 380 sources.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4.1bis Pilotage (responsable, échéance, statut)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27"/>
        <w:gridCol w:w="2396"/>
        <w:gridCol w:w="1711"/>
        <w:gridCol w:w="1711"/>
        <w:gridCol w:w="2567"/>
      </w:tblGrid>
      <w:tr>
        <w:tc>
          <w:tcPr>
            <w:tcW w:type="dxa" w:w="102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ID</w:t>
            </w:r>
          </w:p>
        </w:tc>
        <w:tc>
          <w:tcPr>
            <w:tcW w:type="dxa" w:w="2396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Responsable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Échéance</w:t>
            </w:r>
          </w:p>
        </w:tc>
        <w:tc>
          <w:tcPr>
            <w:tcW w:type="dxa" w:w="1711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Statut</w:t>
            </w:r>
          </w:p>
        </w:tc>
        <w:tc>
          <w:tcPr>
            <w:tcW w:type="dxa" w:w="2567"/>
            <w:shd w:val="clear" w:color="auto" w:fill="F2FBF7"/>
            <w:tcBorders>
              <w:bottom w:val="single" w:sz="6" w:space="0" w:color="C9DBD3"/>
            </w:tcBorders>
          </w:tcPr>
          <w:p>
            <w:r>
              <w:rPr>
                <w:b/>
                <w:i w:val="0"/>
                <w:color w:val="0C2317"/>
                <w:sz w:val="16"/>
              </w:rPr>
              <w:t>Coût estimé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REM-01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2026-09-15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En cours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REM-02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2026-09-30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REM-03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DSI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2026-11-15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Moyen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REM-04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2026-12-01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Négligeable</w:t>
            </w:r>
          </w:p>
        </w:tc>
      </w:tr>
      <w:tr>
        <w:tc>
          <w:tcPr>
            <w:tcW w:type="dxa" w:w="102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REM-05</w:t>
            </w:r>
          </w:p>
        </w:tc>
        <w:tc>
          <w:tcPr>
            <w:tcW w:type="dxa" w:w="2396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RSSI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2026-10-15</w:t>
            </w:r>
          </w:p>
        </w:tc>
        <w:tc>
          <w:tcPr>
            <w:tcW w:type="dxa" w:w="1711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À faire</w:t>
            </w:r>
          </w:p>
        </w:tc>
        <w:tc>
          <w:tcPr>
            <w:tcW w:type="dxa" w:w="2567"/>
            <w:tcBorders>
              <w:bottom w:val="single" w:sz="4" w:space="0" w:color="DFE7E3"/>
            </w:tcBorders>
          </w:tcPr>
          <w:p>
            <w:r>
              <w:rPr>
                <w:b w:val="0"/>
                <w:i w:val="0"/>
                <w:color w:val="33403B"/>
                <w:sz w:val="18"/>
              </w:rPr>
              <w:t>Moyen</w:t>
            </w:r>
          </w:p>
        </w:tc>
      </w:tr>
    </w:tbl>
    <w:p/>
    <w:p>
      <w:pPr>
        <w:spacing w:before="200" w:after="40"/>
      </w:pPr>
      <w:r>
        <w:rPr>
          <w:b/>
          <w:i w:val="0"/>
          <w:color w:val="0C2317"/>
          <w:sz w:val="21"/>
        </w:rPr>
        <w:t>4.2 Actions immédiates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Clôturer les 3 comptes à privilèges de personnes sorties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Publier la liste des prestataires critiques au registre DORA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Activer l'alerte SIEM sur création de compte à privilèges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Vérifier la couverture EDR des 37 serveurs découverts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Planifier le prochain test de bascule avec procès-verbal</w:t>
      </w:r>
    </w:p>
    <w:p>
      <w:pPr>
        <w:pStyle w:val="ListNumber"/>
      </w:pPr>
      <w:r>
        <w:rPr>
          <w:b w:val="0"/>
          <w:i w:val="0"/>
          <w:color w:val="33403B"/>
          <w:sz w:val="19"/>
        </w:rPr>
        <w:t>Confirmer la clause de sortie du contrat core banking</w:t>
      </w:r>
    </w:p>
    <w:sectPr w:rsidR="00FC693F" w:rsidRPr="0006063C" w:rsidSect="00034616">
      <w:footerReference w:type="default" r:id="rId10"/>
      <w:pgSz w:w="11906" w:h="16838"/>
      <w:pgMar w:top="907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33403B"/>
        <w:sz w:val="14"/>
      </w:rPr>
      <w:t>GREEN SHIELD — Cabinet non renseigné · Document confidentiel, ne pas diffuser sans autorisation écrite.</w:t>
    </w:r>
  </w:p>
  <w:p>
    <w:pPr>
      <w:jc w:val="center"/>
    </w:pPr>
    <w:r>
      <w:rPr>
        <w:b w:val="0"/>
        <w:i w:val="0"/>
        <w:color w:val="33403B"/>
        <w:sz w:val="13"/>
      </w:rPr>
      <w:t>Empreinte SHA-256 de l'état de la mission à l'édition : 87bdb9f2e3587ab6a25c45da3d56f8f35ba86205e49b6718241a85d4c4bee970</w:t>
    </w:r>
  </w:p>
  <w:p>
    <w:pPr>
      <w:jc w:val="center"/>
    </w:pPr>
    <w:r>
      <w:rPr>
        <w:b w:val="0"/>
        <w:i/>
        <w:color w:val="33403B"/>
        <w:sz w:val="13"/>
      </w:rPr>
      <w:t>Toute modification ultérieure de la mission, même rétablie, produit une empreinte différente.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0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