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Analyse d'impact relative à la protection des données (AIPD / PIA)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Vernier Composites SAS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sécurité &amp; analyse de risque EBIOS RM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audit_de_securite_et_analyse_de_risque_ebios_rm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DPO : </w:t>
            </w:r>
            <w:r>
              <w:rPr>
                <w:b/>
                <w:i w:val="0"/>
                <w:color w:val="EAF4F0"/>
                <w:sz w:val="17"/>
              </w:rPr>
              <w:t>Enregistré au registre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30/07/2026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i w:val="0"/>
          <w:color w:val="0C2317"/>
          <w:sz w:val="26"/>
        </w:rPr>
        <w:t>Sommaire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1.  </w:t>
      </w:r>
      <w:r>
        <w:rPr>
          <w:b w:val="0"/>
          <w:i w:val="0"/>
          <w:color w:val="33403B"/>
          <w:sz w:val="20"/>
        </w:rPr>
        <w:t>Registre des activités de traitement (RGPD Art. 30)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2.  </w:t>
      </w:r>
      <w:r>
        <w:rPr>
          <w:b w:val="0"/>
          <w:i w:val="0"/>
          <w:color w:val="33403B"/>
          <w:sz w:val="20"/>
        </w:rPr>
        <w:t>Analyse d'impact systématique (PIA)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3.  </w:t>
      </w:r>
      <w:r>
        <w:rPr>
          <w:b w:val="0"/>
          <w:i w:val="0"/>
          <w:color w:val="33403B"/>
          <w:sz w:val="20"/>
        </w:rPr>
        <w:t>Obligations organisationnelles (conduite de l'AIPD)</w:t>
      </w:r>
    </w:p>
    <w:p>
      <w:r>
        <w:br w:type="page"/>
      </w:r>
    </w:p>
    <w:p>
      <w:pPr>
        <w:spacing w:before="8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1. </w:t>
      </w:r>
      <w:r>
        <w:rPr>
          <w:b/>
          <w:i w:val="0"/>
          <w:color w:val="0C2317"/>
          <w:sz w:val="28"/>
        </w:rPr>
        <w:t>Registre des activités de traitement (RGPD Art. 30)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890"/>
        <w:gridCol w:w="2035"/>
        <w:gridCol w:w="2544"/>
        <w:gridCol w:w="2289"/>
        <w:gridCol w:w="1653"/>
      </w:tblGrid>
      <w:tr>
        <w:tc>
          <w:tcPr>
            <w:tcW w:type="dxa" w:w="89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03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Activité de traitement</w:t>
            </w:r>
          </w:p>
        </w:tc>
        <w:tc>
          <w:tcPr>
            <w:tcW w:type="dxa" w:w="254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Finalité</w:t>
            </w:r>
          </w:p>
        </w:tc>
        <w:tc>
          <w:tcPr>
            <w:tcW w:type="dxa" w:w="2289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Catégories de données</w:t>
            </w:r>
          </w:p>
        </w:tc>
        <w:tc>
          <w:tcPr>
            <w:tcW w:type="dxa" w:w="165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Conservation</w:t>
            </w:r>
          </w:p>
        </w:tc>
      </w:tr>
      <w:tr>
        <w:tc>
          <w:tcPr>
            <w:tcW w:type="dxa" w:w="89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RGPD-01</w:t>
            </w:r>
          </w:p>
        </w:tc>
        <w:tc>
          <w:tcPr>
            <w:tcW w:type="dxa" w:w="203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Gestion administrative du personnel</w:t>
            </w:r>
          </w:p>
        </w:tc>
        <w:tc>
          <w:tcPr>
            <w:tcW w:type="dxa" w:w="254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Exécution du contrat de travail, paie, obligations sociales.</w:t>
            </w:r>
          </w:p>
        </w:tc>
        <w:tc>
          <w:tcPr>
            <w:tcW w:type="dxa" w:w="2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Identité, coordonnées, RIB, situation familiale, arrêts de travail</w:t>
            </w:r>
          </w:p>
        </w:tc>
        <w:tc>
          <w:tcPr>
            <w:tcW w:type="dxa" w:w="16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Durée du contrat + 5 ans (prescription prud'homale)</w:t>
            </w:r>
          </w:p>
        </w:tc>
      </w:tr>
      <w:tr>
        <w:tc>
          <w:tcPr>
            <w:tcW w:type="dxa" w:w="89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RGPD-02</w:t>
            </w:r>
          </w:p>
        </w:tc>
        <w:tc>
          <w:tcPr>
            <w:tcW w:type="dxa" w:w="203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Vidéoprotection des accès ateliers</w:t>
            </w:r>
          </w:p>
        </w:tc>
        <w:tc>
          <w:tcPr>
            <w:tcW w:type="dxa" w:w="254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Sécurité des personnes et protection du secret industriel.</w:t>
            </w:r>
          </w:p>
        </w:tc>
        <w:tc>
          <w:tcPr>
            <w:tcW w:type="dxa" w:w="2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Images des salariés et visiteurs aux 6 points d'accès</w:t>
            </w:r>
          </w:p>
        </w:tc>
        <w:tc>
          <w:tcPr>
            <w:tcW w:type="dxa" w:w="16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30 jours</w:t>
            </w:r>
          </w:p>
        </w:tc>
      </w:tr>
      <w:tr>
        <w:tc>
          <w:tcPr>
            <w:tcW w:type="dxa" w:w="89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RGPD-03</w:t>
            </w:r>
          </w:p>
        </w:tc>
        <w:tc>
          <w:tcPr>
            <w:tcW w:type="dxa" w:w="203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Suivi de la santé au travail</w:t>
            </w:r>
          </w:p>
        </w:tc>
        <w:tc>
          <w:tcPr>
            <w:tcW w:type="dxa" w:w="254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Suivi des expositions aux résines époxy (obligation employeur).</w:t>
            </w:r>
          </w:p>
        </w:tc>
        <w:tc>
          <w:tcPr>
            <w:tcW w:type="dxa" w:w="2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Données de santé, résultats d'examens médicaux</w:t>
            </w:r>
          </w:p>
        </w:tc>
        <w:tc>
          <w:tcPr>
            <w:tcW w:type="dxa" w:w="16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40 ans après la fin d'exposition (Code du travail)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2. </w:t>
      </w:r>
      <w:r>
        <w:rPr>
          <w:b/>
          <w:i w:val="0"/>
          <w:color w:val="0C2317"/>
          <w:sz w:val="28"/>
        </w:rPr>
        <w:t>Analyse d'impact systématique (PIA)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2.1 Description systématique du traitement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Vidéoprotection continue des 6 accès aux ateliers et au laboratoire R&amp;D, avec conservation 30 jours et consultation restreinte à deux personnes habilitées. Finalité double : sécurité des personnes (machines dangereuses) et protection du secret industriel.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2.2 Évaluation de la nécessité et de la proportionnalité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La protection du secret industriel justifie un contrôle des accès au laboratoire, mais la vidéoprotection continue des postes de travail en atelier excède ce qui est nécessaire : le champ des caméras 3 et 4 a été réduit aux seules zones de passage, et l'enregistrement audio désactivé.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2.3 Évaluation des risques sur les droits et libertés des personnes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Origine : accès illégitime d'un tiers au NVR, exposé sur le même VLAN que la bureautique. Risque : surveillance permanente de salariés identifiables (gravité Élevée, vraisemblance Moyenne au vu de l'absence de segmentation). Impact sur les personnes : sentiment de surveillance constante, détournement possible à des fins disciplinaires.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2.4 Mesures de traitement et de sécurité envisagées (atténuation)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Segmentation du NVR sur un VLAN dédié, authentification nominative des deux habilités avec journalisation des consultations, réduction du champ des caméras 3 et 4, affichage et information des salariés, consultation du CSE actée en séance du 12/06/2026.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3. </w:t>
      </w:r>
      <w:r>
        <w:rPr>
          <w:b/>
          <w:i w:val="0"/>
          <w:color w:val="0C2317"/>
          <w:sz w:val="28"/>
        </w:rPr>
        <w:t>Obligations organisationnelles (conduite de l'AIPD)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36"/>
        <w:gridCol w:w="1822"/>
        <w:gridCol w:w="1518"/>
        <w:gridCol w:w="3036"/>
      </w:tblGrid>
      <w:tr>
        <w:tc>
          <w:tcPr>
            <w:tcW w:type="dxa" w:w="303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Obligation</w:t>
            </w:r>
          </w:p>
        </w:tc>
        <w:tc>
          <w:tcPr>
            <w:tcW w:type="dxa" w:w="182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Référence</w:t>
            </w:r>
          </w:p>
        </w:tc>
        <w:tc>
          <w:tcPr>
            <w:tcW w:type="dxa" w:w="151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État</w:t>
            </w:r>
          </w:p>
        </w:tc>
        <w:tc>
          <w:tcPr>
            <w:tcW w:type="dxa" w:w="303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Commentaire</w:t>
            </w:r>
          </w:p>
        </w:tc>
      </w:tr>
      <w:tr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Avis du délégué à la protection des données recueilli</w:t>
            </w:r>
          </w:p>
        </w:tc>
        <w:tc>
          <w:tcPr>
            <w:tcW w:type="dxa" w:w="18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 Art. 35 §2</w:t>
            </w:r>
          </w:p>
        </w:tc>
        <w:tc>
          <w:tcPr>
            <w:tcW w:type="dxa" w:w="15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Fait</w:t>
            </w:r>
          </w:p>
        </w:tc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DPO externe mutualisé — avis favorable rendu le 18/06/2026 sous réserve de la réduction du champ des caméras.</w:t>
            </w:r>
          </w:p>
        </w:tc>
      </w:tr>
      <w:tr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Avis des personnes concernées recueilli (ou motif de non-consultation)</w:t>
            </w:r>
          </w:p>
        </w:tc>
        <w:tc>
          <w:tcPr>
            <w:tcW w:type="dxa" w:w="18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 Art. 35 §9</w:t>
            </w:r>
          </w:p>
        </w:tc>
        <w:tc>
          <w:tcPr>
            <w:tcW w:type="dxa" w:w="15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Fait</w:t>
            </w:r>
          </w:p>
        </w:tc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CSE consulté le 12/06/2026, avis favorable ; note d'information remise aux 204 salariés.</w:t>
            </w:r>
          </w:p>
        </w:tc>
      </w:tr>
      <w:tr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Confrontation aux listes CNIL des traitements soumis / exemptés</w:t>
            </w:r>
          </w:p>
        </w:tc>
        <w:tc>
          <w:tcPr>
            <w:tcW w:type="dxa" w:w="18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 Art. 35 §4-5</w:t>
            </w:r>
          </w:p>
        </w:tc>
        <w:tc>
          <w:tcPr>
            <w:tcW w:type="dxa" w:w="15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Fait</w:t>
            </w:r>
          </w:p>
        </w:tc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Traitement figurant sur la liste CNIL des traitements soumis à AIPD (surveillance systématique de personnes sur un lieu de travail).</w:t>
            </w:r>
          </w:p>
        </w:tc>
      </w:tr>
      <w:tr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Réexamen prévu à chaque évolution du niveau de risque</w:t>
            </w:r>
          </w:p>
        </w:tc>
        <w:tc>
          <w:tcPr>
            <w:tcW w:type="dxa" w:w="18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 Art. 35 §11</w:t>
            </w:r>
          </w:p>
        </w:tc>
        <w:tc>
          <w:tcPr>
            <w:tcW w:type="dxa" w:w="15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Fait</w:t>
            </w:r>
          </w:p>
        </w:tc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Réexamen déclenché par tout ajout de caméra, toute extension de durée de conservation, ou au plus tard le 30/06/2028.</w:t>
            </w:r>
          </w:p>
        </w:tc>
      </w:tr>
      <w:tr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Consultation préalable de la CNIL avant mise en œuvre</w:t>
            </w:r>
          </w:p>
        </w:tc>
        <w:tc>
          <w:tcPr>
            <w:tcW w:type="dxa" w:w="18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 Art. 36 §1</w:t>
            </w:r>
          </w:p>
        </w:tc>
        <w:tc>
          <w:tcPr>
            <w:tcW w:type="dxa" w:w="15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Non applicable (risque résiduel non élevé)</w:t>
            </w:r>
          </w:p>
        </w:tc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—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0C2317"/>
          <w:sz w:val="26"/>
        </w:rPr>
        <w:t>Signature de validation conformité CNIL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Avis du Délégué à la Protection des Données (DPO)</w:t>
            </w:r>
          </w:p>
        </w:tc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Validation du Responsable du Traitement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Avis favorable / non favorable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Validé pour mise en œuvre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</w:tr>
    </w:tbl>
    <w:p/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be7b83a3386e9466227d8fc1dc3dc08973672f46b8ba0db1246997f7722e2e6b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