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sécurité et d'analyse de risque</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Méthode : </w:t>
            </w:r>
            <w:r>
              <w:rPr>
                <w:b/>
                <w:i w:val="0"/>
                <w:color w:val="EAF4F0"/>
                <w:sz w:val="17"/>
              </w:rPr>
              <w:t>EBIOS RM · ANSSI</w:t>
            </w:r>
            <w:r>
              <w:rPr>
                <w:color w:val="3E5A50"/>
              </w:rPr>
              <w:t xml:space="preserve">    ·    </w:t>
            </w:r>
            <w:r>
              <w:rPr>
                <w:b w:val="0"/>
                <w:i w:val="0"/>
                <w:color w:val="8FB3A8"/>
                <w:sz w:val="17"/>
              </w:rPr>
              <w:t xml:space="preserve">Budget vendu : </w:t>
            </w:r>
            <w:r>
              <w:rPr>
                <w:b/>
                <w:i w:val="0"/>
                <w:color w:val="EAF4F0"/>
                <w:sz w:val="17"/>
              </w:rPr>
              <w:t>18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Vernier Composites présente une exposition élevée sur deux actifs non substituables : la ligne de production (38 k€/jour ouvré) et les formulations R&amp;D, non brevetées. Trois écarts expliquent l'essentiel du risque : le réseau industriel n'est pas séparé du réseau bureautique, les sauvegardes résident sur le même VLAN que la production et n'ont jamais été restaurées en test, et le prestataire de maintenance dispose d'un accès VPN permanent sans authentification forte. Aucun ne demande d'investissement lourd : les trois relèvent de configuration et de procédure. Le MFA et la sortie d'une copie de sauvegarde du VLAN de production sont réalisables sous quinze jours.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Exigence de sécurité du donneur d'ordre aéronautique inscrite au renouvellement de contrat 2027, doublée d'une tentative de rançongiciel évitée en mars 2026.</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Général (mandat direct, arbitrage budgétaire sans passage COMEX)</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18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Faible à moyenne : sauvegardes existantes mais non testées, aucune PSSI, aucun référent sécurité, réseau OT non segmenté.</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1 responsable infrastructure (0,3 ETP mobilisable), 1 technicien support, prestataire externe pour la maintenance des automates.</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2026-11-30 (revue de sécurité du donneur d'ordre)</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SI bureautique et industriel du site de Saint-Étienne, incluant AD, MES, automates de cuisson, NAS R&amp;D, messagerie M365 et sauvegardes.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Filiale allemande (SI distinct), SI commercial en SaaS, tests d'intrusion sur les automates en production (risque matière), audit du code embarqué.</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4 phases sur 10 semaines, 3 déplacements sur site, points d'avancement hebdomadaires en visioconférence de 30 minutes.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 nominatif en lecture seule sur l'AD, accès physique aux ateliers accompagné, export des configurations pare-feu fourni par le client. Aucun accès administrateur.</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2026-06-03</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pilotage bimensuel présidé par le DG, arbitrages tracés en compte rendu, escalade directe au DG en cas de découverte critique en cours de mission.</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de sécurité avec constats sourcés · Analyse de risque EBIOS RM (ateliers 1 à 5) · Plan de traitement priorisé et chiffré · AIPD vidéoprotection · Restitution en comité de direction (2 h)</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Général (sponsor) · Responsable Infrastructure · Responsable R&amp;D · Responsable Production · Responsable RH (volet RGPD)</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Général</w:t>
            </w:r>
          </w:p>
        </w:tc>
        <w:tc>
          <w:tcPr>
            <w:tcW w:type="dxa" w:w="1629"/>
            <w:tcBorders>
              <w:bottom w:val="single" w:sz="4" w:space="0" w:color="DFE7E3"/>
            </w:tcBorders>
          </w:tcPr>
          <w:p>
            <w:r>
              <w:rPr>
                <w:b w:val="0"/>
                <w:i w:val="0"/>
                <w:color w:val="33403B"/>
                <w:sz w:val="18"/>
              </w:rPr>
              <w:t>2026-06-03</w:t>
            </w:r>
          </w:p>
        </w:tc>
        <w:tc>
          <w:tcPr>
            <w:tcW w:type="dxa" w:w="5430"/>
            <w:tcBorders>
              <w:bottom w:val="single" w:sz="4" w:space="0" w:color="DFE7E3"/>
            </w:tcBorders>
          </w:tcPr>
          <w:p>
            <w:r>
              <w:rPr>
                <w:b w:val="0"/>
                <w:i w:val="0"/>
                <w:color w:val="33403B"/>
                <w:sz w:val="18"/>
              </w:rPr>
              <w:t>Attente principale : conserver la qualification du donneur d'ordre. Budget disponible mais arbitré à l'euro près ; demande un plan chiffré et priorisé.</w:t>
            </w:r>
          </w:p>
        </w:tc>
      </w:tr>
      <w:tr>
        <w:tc>
          <w:tcPr>
            <w:tcW w:type="dxa" w:w="2353"/>
            <w:tcBorders>
              <w:bottom w:val="single" w:sz="4" w:space="0" w:color="DFE7E3"/>
            </w:tcBorders>
          </w:tcPr>
          <w:p>
            <w:r>
              <w:rPr>
                <w:b w:val="0"/>
                <w:i w:val="0"/>
                <w:color w:val="33403B"/>
                <w:sz w:val="18"/>
              </w:rPr>
              <w:t>Responsable Infrastructure</w:t>
            </w:r>
          </w:p>
        </w:tc>
        <w:tc>
          <w:tcPr>
            <w:tcW w:type="dxa" w:w="1629"/>
            <w:tcBorders>
              <w:bottom w:val="single" w:sz="4" w:space="0" w:color="DFE7E3"/>
            </w:tcBorders>
          </w:tcPr>
          <w:p>
            <w:r>
              <w:rPr>
                <w:b w:val="0"/>
                <w:i w:val="0"/>
                <w:color w:val="33403B"/>
                <w:sz w:val="18"/>
              </w:rPr>
              <w:t>2026-06-05</w:t>
            </w:r>
          </w:p>
        </w:tc>
        <w:tc>
          <w:tcPr>
            <w:tcW w:type="dxa" w:w="5430"/>
            <w:tcBorders>
              <w:bottom w:val="single" w:sz="4" w:space="0" w:color="DFE7E3"/>
            </w:tcBorders>
          </w:tcPr>
          <w:p>
            <w:r>
              <w:rPr>
                <w:b w:val="0"/>
                <w:i w:val="0"/>
                <w:color w:val="33403B"/>
                <w:sz w:val="18"/>
              </w:rPr>
              <w:t>Confirme l'absence de segmentation OT/IT, l'absence d'EDR et le fait que les sauvegardes n'ont jamais été restaurées en test. Signale 12 comptes à privilèges dont 4 sans propriétaire identifié.</w:t>
            </w:r>
          </w:p>
        </w:tc>
      </w:tr>
      <w:tr>
        <w:tc>
          <w:tcPr>
            <w:tcW w:type="dxa" w:w="2353"/>
            <w:tcBorders>
              <w:bottom w:val="single" w:sz="4" w:space="0" w:color="DFE7E3"/>
            </w:tcBorders>
          </w:tcPr>
          <w:p>
            <w:r>
              <w:rPr>
                <w:b w:val="0"/>
                <w:i w:val="0"/>
                <w:color w:val="33403B"/>
                <w:sz w:val="18"/>
              </w:rPr>
              <w:t>Responsable R&amp;D</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Les formulations sont sur un partage SMB accessible à 31 comptes, dont 9 hors R&amp;D. Aucune traçabilité des consultations. Aucun brevet ne protège ces actifs.</w:t>
            </w:r>
          </w:p>
        </w:tc>
      </w:tr>
      <w:tr>
        <w:tc>
          <w:tcPr>
            <w:tcW w:type="dxa" w:w="2353"/>
            <w:tcBorders>
              <w:bottom w:val="single" w:sz="4" w:space="0" w:color="DFE7E3"/>
            </w:tcBorders>
          </w:tcPr>
          <w:p>
            <w:r>
              <w:rPr>
                <w:b w:val="0"/>
                <w:i w:val="0"/>
                <w:color w:val="33403B"/>
                <w:sz w:val="18"/>
              </w:rPr>
              <w:t>Responsable Production</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Un arrêt de plus de 24 h impose de purger les fours et de rebuter les pièces en cours : le RTO de 24 h est un plafond technique, pas une préférence.</w:t>
            </w:r>
          </w:p>
        </w:tc>
      </w:tr>
      <w:tr>
        <w:tc>
          <w:tcPr>
            <w:tcW w:type="dxa" w:w="2353"/>
            <w:tcBorders>
              <w:bottom w:val="single" w:sz="4" w:space="0" w:color="DFE7E3"/>
            </w:tcBorders>
          </w:tcPr>
          <w:p>
            <w:r>
              <w:rPr>
                <w:b w:val="0"/>
                <w:i w:val="0"/>
                <w:color w:val="33403B"/>
                <w:sz w:val="18"/>
              </w:rPr>
              <w:t>Responsable RH</w:t>
            </w:r>
          </w:p>
        </w:tc>
        <w:tc>
          <w:tcPr>
            <w:tcW w:type="dxa" w:w="1629"/>
            <w:tcBorders>
              <w:bottom w:val="single" w:sz="4" w:space="0" w:color="DFE7E3"/>
            </w:tcBorders>
          </w:tcPr>
          <w:p>
            <w:r>
              <w:rPr>
                <w:b w:val="0"/>
                <w:i w:val="0"/>
                <w:color w:val="33403B"/>
                <w:sz w:val="18"/>
              </w:rPr>
              <w:t>2026-06-17</w:t>
            </w:r>
          </w:p>
        </w:tc>
        <w:tc>
          <w:tcPr>
            <w:tcW w:type="dxa" w:w="5430"/>
            <w:tcBorders>
              <w:bottom w:val="single" w:sz="4" w:space="0" w:color="DFE7E3"/>
            </w:tcBorders>
          </w:tcPr>
          <w:p>
            <w:r>
              <w:rPr>
                <w:b w:val="0"/>
                <w:i w:val="0"/>
                <w:color w:val="33403B"/>
                <w:sz w:val="18"/>
              </w:rPr>
              <w:t>Confirme la présence de données de santé au travail conservées 40 ans et le recours à un DPO externe mutualisé. CSE consulté sur la vidéoprotection.</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Formulations et procédés composites (R&amp;D)</w:t>
            </w:r>
          </w:p>
        </w:tc>
        <w:tc>
          <w:tcPr>
            <w:tcW w:type="dxa" w:w="4278"/>
            <w:tcBorders>
              <w:bottom w:val="single" w:sz="4" w:space="0" w:color="DFE7E3"/>
            </w:tcBorders>
          </w:tcPr>
          <w:p>
            <w:r>
              <w:rPr>
                <w:b w:val="0"/>
                <w:i w:val="0"/>
                <w:color w:val="33403B"/>
                <w:sz w:val="18"/>
              </w:rPr>
              <w:t>Recettes matières, courbes de cuisson, résultats d'essais destructifs. Actif le plus sensible de l'entreprise, non brevetable en l'état.</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Dossiers de qualification client</w:t>
            </w:r>
          </w:p>
        </w:tc>
        <w:tc>
          <w:tcPr>
            <w:tcW w:type="dxa" w:w="4278"/>
            <w:tcBorders>
              <w:bottom w:val="single" w:sz="4" w:space="0" w:color="DFE7E3"/>
            </w:tcBorders>
          </w:tcPr>
          <w:p>
            <w:r>
              <w:rPr>
                <w:b w:val="0"/>
                <w:i w:val="0"/>
                <w:color w:val="33403B"/>
                <w:sz w:val="18"/>
              </w:rPr>
              <w:t>Preuves de conformité aéronautique par lot, exigées lors des audits clients.</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Données RH et paie</w:t>
            </w:r>
          </w:p>
        </w:tc>
        <w:tc>
          <w:tcPr>
            <w:tcW w:type="dxa" w:w="4278"/>
            <w:tcBorders>
              <w:bottom w:val="single" w:sz="4" w:space="0" w:color="DFE7E3"/>
            </w:tcBorders>
          </w:tcPr>
          <w:p>
            <w:r>
              <w:rPr>
                <w:b w:val="0"/>
                <w:i w:val="0"/>
                <w:color w:val="33403B"/>
                <w:sz w:val="18"/>
              </w:rPr>
              <w:t>Contrats, bulletins, données de santé au travail des 204 salariés.</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Continuité de la ligne de production</w:t>
            </w:r>
          </w:p>
        </w:tc>
        <w:tc>
          <w:tcPr>
            <w:tcW w:type="dxa" w:w="4278"/>
            <w:tcBorders>
              <w:bottom w:val="single" w:sz="4" w:space="0" w:color="DFE7E3"/>
            </w:tcBorders>
          </w:tcPr>
          <w:p>
            <w:r>
              <w:rPr>
                <w:b w:val="0"/>
                <w:i w:val="0"/>
                <w:color w:val="33403B"/>
                <w:sz w:val="18"/>
              </w:rPr>
              <w:t>Disponibilité des automates et du MES pilotant les 4 fours de cuisson.</w:t>
            </w:r>
          </w:p>
        </w:tc>
        <w:tc>
          <w:tcPr>
            <w:tcW w:type="dxa" w:w="1854"/>
            <w:tcBorders>
              <w:bottom w:val="single" w:sz="4" w:space="0" w:color="DFE7E3"/>
            </w:tcBorders>
          </w:tcPr>
          <w:p>
            <w:r>
              <w:rPr>
                <w:b w:val="0"/>
                <w:i w:val="0"/>
                <w:color w:val="33403B"/>
                <w:sz w:val="18"/>
              </w:rPr>
              <w:t>Non</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Active Directory (2 contrôleurs de domaine)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Annuaire unique, forêt à domaine unique, niveau fonctionnel 2016.</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Serveur de fichiers R&amp;D (NAS)</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Stocke les formulations. Partage SMB, pas de chiffrement au repos.</w:t>
            </w:r>
          </w:p>
        </w:tc>
        <w:tc>
          <w:tcPr>
            <w:tcW w:type="dxa" w:w="1805"/>
            <w:tcBorders>
              <w:bottom w:val="single" w:sz="4" w:space="0" w:color="DFE7E3"/>
            </w:tcBorders>
          </w:tcPr>
          <w:p>
            <w:r>
              <w:rPr>
                <w:b w:val="0"/>
                <w:i w:val="0"/>
                <w:color w:val="33403B"/>
                <w:sz w:val="18"/>
              </w:rPr>
              <w:t>Responsable R&amp;D</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MES et automates de cuisson</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Réseau OT à plat, non segmenté du réseau bureautique.</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Postes de travail (168 postes Windows 11)</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Parc géré par GPO, sans EDR à ce jour.</w:t>
            </w:r>
          </w:p>
        </w:tc>
        <w:tc>
          <w:tcPr>
            <w:tcW w:type="dxa" w:w="1805"/>
            <w:tcBorders>
              <w:bottom w:val="single" w:sz="4" w:space="0" w:color="DFE7E3"/>
            </w:tcBorders>
          </w:tcPr>
          <w:p>
            <w:r>
              <w:rPr>
                <w:b w:val="0"/>
                <w:i w:val="0"/>
                <w:color w:val="33403B"/>
                <w:sz w:val="18"/>
              </w:rPr>
              <w:t>Support IT</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Messagerie Microsoft 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Tenant unique, MFA activé pour les seuls administrateurs.</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BS-06</w:t>
            </w:r>
          </w:p>
        </w:tc>
        <w:tc>
          <w:tcPr>
            <w:tcW w:type="dxa" w:w="2063"/>
            <w:tcBorders>
              <w:bottom w:val="single" w:sz="4" w:space="0" w:color="DFE7E3"/>
            </w:tcBorders>
          </w:tcPr>
          <w:p>
            <w:r>
              <w:rPr>
                <w:b w:val="0"/>
                <w:i w:val="0"/>
                <w:color w:val="33403B"/>
                <w:sz w:val="18"/>
              </w:rPr>
              <w:t>Sauvegardes Veeam sur NAS secondaire</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Sauvegarde quotidienne, même VLAN que la production, pas de copie hors site.</w:t>
            </w:r>
          </w:p>
        </w:tc>
        <w:tc>
          <w:tcPr>
            <w:tcW w:type="dxa" w:w="1805"/>
            <w:tcBorders>
              <w:bottom w:val="single" w:sz="4" w:space="0" w:color="DFE7E3"/>
            </w:tcBorders>
          </w:tcPr>
          <w:p>
            <w:r>
              <w:rPr>
                <w:b w:val="0"/>
                <w:i w:val="0"/>
                <w:color w:val="33403B"/>
                <w:sz w:val="18"/>
              </w:rPr>
              <w:t>Responsable Infrastructure</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administrative du personnel</w:t>
            </w:r>
          </w:p>
        </w:tc>
        <w:tc>
          <w:tcPr>
            <w:tcW w:type="dxa" w:w="2544"/>
            <w:tcBorders>
              <w:bottom w:val="single" w:sz="4" w:space="0" w:color="DFE7E3"/>
            </w:tcBorders>
          </w:tcPr>
          <w:p>
            <w:r>
              <w:rPr>
                <w:b w:val="0"/>
                <w:i w:val="0"/>
                <w:color w:val="33403B"/>
                <w:sz w:val="18"/>
              </w:rPr>
              <w:t>Exécution du contrat de travail, paie, obligations sociales.</w:t>
            </w:r>
          </w:p>
        </w:tc>
        <w:tc>
          <w:tcPr>
            <w:tcW w:type="dxa" w:w="2289"/>
            <w:tcBorders>
              <w:bottom w:val="single" w:sz="4" w:space="0" w:color="DFE7E3"/>
            </w:tcBorders>
          </w:tcPr>
          <w:p>
            <w:r>
              <w:rPr>
                <w:b w:val="0"/>
                <w:i w:val="0"/>
                <w:color w:val="33403B"/>
                <w:sz w:val="18"/>
              </w:rPr>
              <w:t>Identité, coordonnées, RIB, situation familiale, arrêts de travail</w:t>
            </w:r>
          </w:p>
        </w:tc>
        <w:tc>
          <w:tcPr>
            <w:tcW w:type="dxa" w:w="1653"/>
            <w:tcBorders>
              <w:bottom w:val="single" w:sz="4" w:space="0" w:color="DFE7E3"/>
            </w:tcBorders>
          </w:tcPr>
          <w:p>
            <w:r>
              <w:rPr>
                <w:b w:val="0"/>
                <w:i w:val="0"/>
                <w:color w:val="33403B"/>
                <w:sz w:val="18"/>
              </w:rPr>
              <w:t>Durée du contrat + 5 ans (prescription prud'homale)</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Vidéoprotection des accès ateliers</w:t>
            </w:r>
          </w:p>
        </w:tc>
        <w:tc>
          <w:tcPr>
            <w:tcW w:type="dxa" w:w="2544"/>
            <w:tcBorders>
              <w:bottom w:val="single" w:sz="4" w:space="0" w:color="DFE7E3"/>
            </w:tcBorders>
          </w:tcPr>
          <w:p>
            <w:r>
              <w:rPr>
                <w:b w:val="0"/>
                <w:i w:val="0"/>
                <w:color w:val="33403B"/>
                <w:sz w:val="18"/>
              </w:rPr>
              <w:t>Sécurité des personnes et protection du secret industriel.</w:t>
            </w:r>
          </w:p>
        </w:tc>
        <w:tc>
          <w:tcPr>
            <w:tcW w:type="dxa" w:w="2289"/>
            <w:tcBorders>
              <w:bottom w:val="single" w:sz="4" w:space="0" w:color="DFE7E3"/>
            </w:tcBorders>
          </w:tcPr>
          <w:p>
            <w:r>
              <w:rPr>
                <w:b w:val="0"/>
                <w:i w:val="0"/>
                <w:color w:val="33403B"/>
                <w:sz w:val="18"/>
              </w:rPr>
              <w:t>Images des salariés et visiteurs aux 6 points d'accès</w:t>
            </w:r>
          </w:p>
        </w:tc>
        <w:tc>
          <w:tcPr>
            <w:tcW w:type="dxa" w:w="1653"/>
            <w:tcBorders>
              <w:bottom w:val="single" w:sz="4" w:space="0" w:color="DFE7E3"/>
            </w:tcBorders>
          </w:tcPr>
          <w:p>
            <w:r>
              <w:rPr>
                <w:b w:val="0"/>
                <w:i w:val="0"/>
                <w:color w:val="33403B"/>
                <w:sz w:val="18"/>
              </w:rPr>
              <w:t>30 jours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Suivi de la santé au travail</w:t>
            </w:r>
          </w:p>
        </w:tc>
        <w:tc>
          <w:tcPr>
            <w:tcW w:type="dxa" w:w="2544"/>
            <w:tcBorders>
              <w:bottom w:val="single" w:sz="4" w:space="0" w:color="DFE7E3"/>
            </w:tcBorders>
          </w:tcPr>
          <w:p>
            <w:r>
              <w:rPr>
                <w:b w:val="0"/>
                <w:i w:val="0"/>
                <w:color w:val="33403B"/>
                <w:sz w:val="18"/>
              </w:rPr>
              <w:t>Suivi des expositions aux résines époxy (obligation employeur).</w:t>
            </w:r>
          </w:p>
        </w:tc>
        <w:tc>
          <w:tcPr>
            <w:tcW w:type="dxa" w:w="2289"/>
            <w:tcBorders>
              <w:bottom w:val="single" w:sz="4" w:space="0" w:color="DFE7E3"/>
            </w:tcBorders>
          </w:tcPr>
          <w:p>
            <w:r>
              <w:rPr>
                <w:b w:val="0"/>
                <w:i w:val="0"/>
                <w:color w:val="33403B"/>
                <w:sz w:val="18"/>
              </w:rPr>
              <w:t>Données de santé, résultats d'examens médicaux</w:t>
            </w:r>
          </w:p>
        </w:tc>
        <w:tc>
          <w:tcPr>
            <w:tcW w:type="dxa" w:w="1653"/>
            <w:tcBorders>
              <w:bottom w:val="single" w:sz="4" w:space="0" w:color="DFE7E3"/>
            </w:tcBorders>
          </w:tcPr>
          <w:p>
            <w:r>
              <w:rPr>
                <w:b w:val="0"/>
                <w:i w:val="0"/>
                <w:color w:val="33403B"/>
                <w:sz w:val="18"/>
              </w:rPr>
              <w:t>40 ans après la fin d'exposition (Code du travail)</w:t>
            </w:r>
          </w:p>
        </w:tc>
      </w:tr>
    </w:tbl>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Vidéoprotection continue des 6 accès aux ateliers et au laboratoire R&amp;D, avec conservation 30 jours et consultation restreinte à deux personnes habilitées. Finalité double : sécurité des personnes (machines dangereuses) et protection du secret industriel.</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La protection du secret industriel justifie un contrôle des accès au laboratoire, mais la vidéoprotection continue des postes de travail en atelier excède ce qui est nécessaire : le champ des caméras 3 et 4 a été réduit aux seules zones de passage, et l'enregistrement audio désactivé.</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Origine : accès illégitime d'un tiers au NVR, exposé sur le même VLAN que la bureautique. Risque : surveillance permanente de salariés identifiables (gravité Élevée, vraisemblance Moyenne au vu de l'absence de segmentation). Impact sur les personnes : sentiment de surveillance constante, détournement possible à des fins disciplinaires.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Segmentation du NVR sur un VLAN dédié, authentification nominative des deux habilités avec journalisation des consultations, réduction du champ des caméras 3 et 4, affichage et information des salariés, consultation du CSE actée en séance du 12/06/2026.</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externe mutualisé — avis favorable rendu le 18/06/2026 sous réserve de la réduction du champ des caméras.</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CSE consulté le 12/06/2026, avis favorable ; note d'information remise aux 204 salariés.</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des traitements soumis à AIPD (surveillance systématique de personnes sur un lieu de travail).</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déclenché par tout ajout de caméra, toute extension de durée de conservation, ou au plus tard le 30/06/2028.</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Non applicable (risque résiduel non élevé)</w:t>
            </w:r>
          </w:p>
        </w:tc>
        <w:tc>
          <w:tcPr>
            <w:tcW w:type="dxa" w:w="3036"/>
            <w:tcBorders>
              <w:bottom w:val="single" w:sz="4" w:space="0" w:color="DFE7E3"/>
            </w:tcBorders>
          </w:tcPr>
          <w:p>
            <w:r>
              <w:rPr>
                <w:b w:val="0"/>
                <w:i w:val="0"/>
                <w:color w:val="33403B"/>
                <w:sz w:val="18"/>
              </w:rPr>
              <w:t>—</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Chiffrement du SI de production par rançongiciel</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Arrêt des 4 fours de cuisson, 38 k€/jour ouvré, pénalités de retard contractuelles au-delà de 5 jours.</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Exfiltration des formulations composites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définitive de l'avantage concurrentiel : les formulations ne sont pas brevetées et leur valeur repose entièrement sur le secret.</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Falsification d'un dossier de qualification client</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Perte de la qualification aéronautique, exclusion de la chaîne d'approvisionnement du donneur d'ordre.</w:t>
            </w:r>
          </w:p>
        </w:tc>
      </w:tr>
      <w:tr>
        <w:tc>
          <w:tcPr>
            <w:tcW w:type="dxa" w:w="1098"/>
            <w:tcBorders>
              <w:bottom w:val="single" w:sz="4" w:space="0" w:color="DFE7E3"/>
            </w:tcBorders>
          </w:tcPr>
          <w:p>
            <w:r>
              <w:rPr>
                <w:b w:val="0"/>
                <w:i w:val="0"/>
                <w:color w:val="33403B"/>
                <w:sz w:val="18"/>
              </w:rPr>
              <w:t>ER-04</w:t>
            </w:r>
          </w:p>
        </w:tc>
        <w:tc>
          <w:tcPr>
            <w:tcW w:type="dxa" w:w="3137"/>
            <w:tcBorders>
              <w:bottom w:val="single" w:sz="4" w:space="0" w:color="DFE7E3"/>
            </w:tcBorders>
          </w:tcPr>
          <w:p>
            <w:r>
              <w:rPr>
                <w:b w:val="0"/>
                <w:i w:val="0"/>
                <w:color w:val="33403B"/>
                <w:sz w:val="18"/>
              </w:rPr>
              <w:t>Divulgation des données de santé au travail</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Atteinte grave à la vie privée de salariés identifiables, sanction CNIL, conflit social.</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cybercriminel opérant en rançongiciel-as-a-service</w:t>
            </w:r>
          </w:p>
        </w:tc>
        <w:tc>
          <w:tcPr>
            <w:tcW w:type="dxa" w:w="4005"/>
            <w:tcBorders>
              <w:bottom w:val="single" w:sz="4" w:space="0" w:color="DFE7E3"/>
            </w:tcBorders>
          </w:tcPr>
          <w:p>
            <w:r>
              <w:rPr>
                <w:b w:val="0"/>
                <w:i w:val="0"/>
                <w:color w:val="33403B"/>
                <w:sz w:val="18"/>
              </w:rPr>
              <w:t>Extorsion par double peine : chiffrement puis menace de publication.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Concurrent étranger via prestataire de maintenance</w:t>
            </w:r>
          </w:p>
        </w:tc>
        <w:tc>
          <w:tcPr>
            <w:tcW w:type="dxa" w:w="4005"/>
            <w:tcBorders>
              <w:bottom w:val="single" w:sz="4" w:space="0" w:color="DFE7E3"/>
            </w:tcBorders>
          </w:tcPr>
          <w:p>
            <w:r>
              <w:rPr>
                <w:b w:val="0"/>
                <w:i w:val="0"/>
                <w:color w:val="33403B"/>
                <w:sz w:val="18"/>
              </w:rPr>
              <w:t>Captation des formulations pour combler un retard technologique.</w:t>
            </w:r>
          </w:p>
        </w:tc>
      </w:tr>
      <w:tr>
        <w:tc>
          <w:tcPr>
            <w:tcW w:type="dxa" w:w="1402"/>
            <w:tcBorders>
              <w:bottom w:val="single" w:sz="4" w:space="0" w:color="DFE7E3"/>
            </w:tcBorders>
          </w:tcPr>
          <w:p>
            <w:r>
              <w:rPr>
                <w:b w:val="0"/>
                <w:i w:val="0"/>
                <w:color w:val="33403B"/>
                <w:sz w:val="18"/>
              </w:rPr>
              <w:t>SR-03</w:t>
            </w:r>
          </w:p>
        </w:tc>
        <w:tc>
          <w:tcPr>
            <w:tcW w:type="dxa" w:w="4005"/>
            <w:tcBorders>
              <w:bottom w:val="single" w:sz="4" w:space="0" w:color="DFE7E3"/>
            </w:tcBorders>
          </w:tcPr>
          <w:p>
            <w:r>
              <w:rPr>
                <w:b w:val="0"/>
                <w:i w:val="0"/>
                <w:color w:val="33403B"/>
                <w:sz w:val="18"/>
              </w:rPr>
              <w:t>Salarié en partance vers un concurrent</w:t>
            </w:r>
          </w:p>
        </w:tc>
        <w:tc>
          <w:tcPr>
            <w:tcW w:type="dxa" w:w="4005"/>
            <w:tcBorders>
              <w:bottom w:val="single" w:sz="4" w:space="0" w:color="DFE7E3"/>
            </w:tcBorders>
          </w:tcPr>
          <w:p>
            <w:r>
              <w:rPr>
                <w:b w:val="0"/>
                <w:i w:val="0"/>
                <w:color w:val="33403B"/>
                <w:sz w:val="18"/>
              </w:rPr>
              <w:t>Emport de dossiers R&amp;D à des fins d'embauche.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Hameçonnage d'un poste bureautique (BS-04, sans EDR) → récupération d'identifiants → élévation de privilèges sur l'AD (BS-01) → propagation vers le MES (BS-03) faute de segmentation OT/IT → chiffrement, y compris des sauvegardes (BS-06) placées sur le même VLAN.</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Déploiement EDR, MFA généralisé, segmentation OT/IT, sauvegarde immuable hors site.</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Compromission du compte VPN du prestataire de maintenance des fours → rebond vers le NAS R&amp;D (BS-02) dont le partage SMB est accessible sans cloisonnement → copie des formulations.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VPN nominatif par prestataire, MFA obligatoire, restriction d'accès au NAS R&amp;D par groupe AD, journalisation des accès.</w:t>
            </w:r>
          </w:p>
        </w:tc>
      </w:tr>
      <w:tr>
        <w:tc>
          <w:tcPr>
            <w:tcW w:type="dxa" w:w="941"/>
            <w:tcBorders>
              <w:bottom w:val="single" w:sz="4" w:space="0" w:color="DFE7E3"/>
            </w:tcBorders>
          </w:tcPr>
          <w:p>
            <w:r>
              <w:rPr>
                <w:b w:val="0"/>
                <w:i w:val="0"/>
                <w:color w:val="33403B"/>
                <w:sz w:val="18"/>
              </w:rPr>
              <w:t>SO-03</w:t>
            </w:r>
          </w:p>
        </w:tc>
        <w:tc>
          <w:tcPr>
            <w:tcW w:type="dxa" w:w="3496"/>
            <w:tcBorders>
              <w:bottom w:val="single" w:sz="4" w:space="0" w:color="DFE7E3"/>
            </w:tcBorders>
          </w:tcPr>
          <w:p>
            <w:r>
              <w:rPr>
                <w:b w:val="0"/>
                <w:i w:val="0"/>
                <w:color w:val="33403B"/>
                <w:sz w:val="18"/>
              </w:rPr>
              <w:t>Salarié R&amp;D copiant les formulations sur un support amovible avant son départ, aucun contrôle des périphériques USB n'étant en place.</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Blocage USB par GPO sauf dérogation, journalisation des copies volumineuses, clause de confidentialité renforcée.</w:t>
            </w:r>
          </w:p>
        </w:tc>
      </w:tr>
      <w:tr>
        <w:tc>
          <w:tcPr>
            <w:tcW w:type="dxa" w:w="941"/>
            <w:tcBorders>
              <w:bottom w:val="single" w:sz="4" w:space="0" w:color="DFE7E3"/>
            </w:tcBorders>
          </w:tcPr>
          <w:p>
            <w:r>
              <w:rPr>
                <w:b w:val="0"/>
                <w:i w:val="0"/>
                <w:color w:val="33403B"/>
                <w:sz w:val="18"/>
              </w:rPr>
              <w:t>SO-04</w:t>
            </w:r>
          </w:p>
        </w:tc>
        <w:tc>
          <w:tcPr>
            <w:tcW w:type="dxa" w:w="3496"/>
            <w:tcBorders>
              <w:bottom w:val="single" w:sz="4" w:space="0" w:color="DFE7E3"/>
            </w:tcBorders>
          </w:tcPr>
          <w:p>
            <w:r>
              <w:rPr>
                <w:b w:val="0"/>
                <w:i w:val="0"/>
                <w:color w:val="33403B"/>
                <w:sz w:val="18"/>
              </w:rPr>
              <w:t>Accès illégitime au NVR de vidéoprotection depuis le VLAN bureautique, faute de segmentation.</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VLAN dédié au NVR, authentification nominative, journalisation des consultations.</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Norsk Hydro (2019) — rançongiciel LockerGoga</w:t>
            </w:r>
          </w:p>
        </w:tc>
        <w:tc>
          <w:tcPr>
            <w:tcW w:type="dxa" w:w="6400"/>
            <w:tcBorders>
              <w:bottom w:val="single" w:sz="4" w:space="0" w:color="DFE7E3"/>
            </w:tcBorders>
          </w:tcPr>
          <w:p>
            <w:r>
              <w:rPr>
                <w:b w:val="0"/>
                <w:i w:val="0"/>
                <w:color w:val="33403B"/>
                <w:sz w:val="18"/>
              </w:rPr>
              <w:t>Industriel comparable : la propagation IT vers OT a arrêté la production faute de segmentation. La transparence publique a limité l'atteinte réputationnelle.</w:t>
            </w:r>
          </w:p>
        </w:tc>
      </w:tr>
      <w:tr>
        <w:tc>
          <w:tcPr>
            <w:tcW w:type="dxa" w:w="3012"/>
            <w:tcBorders>
              <w:bottom w:val="single" w:sz="4" w:space="0" w:color="DFE7E3"/>
            </w:tcBorders>
          </w:tcPr>
          <w:p>
            <w:r>
              <w:rPr>
                <w:b w:val="0"/>
                <w:i w:val="0"/>
                <w:color w:val="33403B"/>
                <w:sz w:val="18"/>
              </w:rPr>
              <w:t>ASML / employé exfiltrant des données (2023)</w:t>
            </w:r>
          </w:p>
        </w:tc>
        <w:tc>
          <w:tcPr>
            <w:tcW w:type="dxa" w:w="6400"/>
            <w:tcBorders>
              <w:bottom w:val="single" w:sz="4" w:space="0" w:color="DFE7E3"/>
            </w:tcBorders>
          </w:tcPr>
          <w:p>
            <w:r>
              <w:rPr>
                <w:b w:val="0"/>
                <w:i w:val="0"/>
                <w:color w:val="33403B"/>
                <w:sz w:val="18"/>
              </w:rPr>
              <w:t>La menace interne sur la propriété intellectuelle industrielle est réelle et ne se traite pas par des mesures périmétriques.</w:t>
            </w:r>
          </w:p>
        </w:tc>
      </w:tr>
      <w:tr>
        <w:tc>
          <w:tcPr>
            <w:tcW w:type="dxa" w:w="3012"/>
            <w:tcBorders>
              <w:bottom w:val="single" w:sz="4" w:space="0" w:color="DFE7E3"/>
            </w:tcBorders>
          </w:tcPr>
          <w:p>
            <w:r>
              <w:rPr>
                <w:b w:val="0"/>
                <w:i w:val="0"/>
                <w:color w:val="33403B"/>
                <w:sz w:val="18"/>
              </w:rPr>
              <w:t>Fuite de données de santé — laboratoires français (2021)</w:t>
            </w:r>
          </w:p>
        </w:tc>
        <w:tc>
          <w:tcPr>
            <w:tcW w:type="dxa" w:w="6400"/>
            <w:tcBorders>
              <w:bottom w:val="single" w:sz="4" w:space="0" w:color="DFE7E3"/>
            </w:tcBorders>
          </w:tcPr>
          <w:p>
            <w:r>
              <w:rPr>
                <w:b w:val="0"/>
                <w:i w:val="0"/>
                <w:color w:val="33403B"/>
                <w:sz w:val="18"/>
              </w:rPr>
              <w:t>Les données de santé mal cloisonnées finissent en accès ouvert ; la sanction porte sur le défaut de mesures, pas sur l'attaque.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Criticité selon la formule ANSSI : (dépendance × pénétration) / (maturité × confiance).</w:t>
      </w:r>
    </w:p>
    <w:tbl>
      <w:tblPr>
        <w:tblW w:type="auto" w:w="0"/>
        <w:jc w:val="left"/>
        <w:tblLayout w:type="fixed"/>
        <w:tblLook w:firstColumn="1" w:firstRow="1" w:lastColumn="0" w:lastRow="0" w:noHBand="0" w:noVBand="1" w:val="04A0"/>
      </w:tblPr>
      <w:tblGrid>
        <w:gridCol w:w="3025"/>
        <w:gridCol w:w="1849"/>
        <w:gridCol w:w="1513"/>
        <w:gridCol w:w="3025"/>
      </w:tblGrid>
      <w:tr>
        <w:tc>
          <w:tcPr>
            <w:tcW w:type="dxa" w:w="3025"/>
            <w:shd w:val="clear" w:color="auto" w:fill="F2FBF7"/>
            <w:tcBorders>
              <w:bottom w:val="single" w:sz="6" w:space="0" w:color="C9DBD3"/>
            </w:tcBorders>
          </w:tcPr>
          <w:p>
            <w:r>
              <w:rPr>
                <w:b/>
                <w:i w:val="0"/>
                <w:color w:val="0C2317"/>
                <w:sz w:val="16"/>
              </w:rPr>
              <w:t>Tiers</w:t>
            </w:r>
          </w:p>
        </w:tc>
        <w:tc>
          <w:tcPr>
            <w:tcW w:type="dxa" w:w="1849"/>
            <w:shd w:val="clear" w:color="auto" w:fill="F2FBF7"/>
            <w:tcBorders>
              <w:bottom w:val="single" w:sz="6" w:space="0" w:color="C9DBD3"/>
            </w:tcBorders>
          </w:tcPr>
          <w:p>
            <w:r>
              <w:rPr>
                <w:b/>
                <w:i w:val="0"/>
                <w:color w:val="0C2317"/>
                <w:sz w:val="16"/>
              </w:rPr>
              <w:t>Criticité</w:t>
            </w:r>
          </w:p>
        </w:tc>
        <w:tc>
          <w:tcPr>
            <w:tcW w:type="dxa" w:w="1513"/>
            <w:shd w:val="clear" w:color="auto" w:fill="F2FBF7"/>
            <w:tcBorders>
              <w:bottom w:val="single" w:sz="6" w:space="0" w:color="C9DBD3"/>
            </w:tcBorders>
          </w:tcPr>
          <w:p>
            <w:pPr>
              <w:jc w:val="right"/>
            </w:pPr>
            <w:r>
              <w:rPr>
                <w:b/>
                <w:i w:val="0"/>
                <w:color w:val="0C2317"/>
                <w:sz w:val="16"/>
              </w:rPr>
              <w:t>Ratio</w:t>
            </w:r>
          </w:p>
        </w:tc>
        <w:tc>
          <w:tcPr>
            <w:tcW w:type="dxa" w:w="3025"/>
            <w:shd w:val="clear" w:color="auto" w:fill="F2FBF7"/>
            <w:tcBorders>
              <w:bottom w:val="single" w:sz="6" w:space="0" w:color="C9DBD3"/>
            </w:tcBorders>
          </w:tcPr>
          <w:p>
            <w:pPr>
              <w:jc w:val="right"/>
            </w:pPr>
            <w:r>
              <w:rPr>
                <w:b/>
                <w:i w:val="0"/>
                <w:color w:val="0C2317"/>
                <w:sz w:val="16"/>
              </w:rPr>
              <w:t>Dép. / Pén. / Mat. / Conf.</w:t>
            </w:r>
          </w:p>
        </w:tc>
      </w:tr>
      <w:tr>
        <w:tc>
          <w:tcPr>
            <w:tcW w:type="dxa" w:w="3025"/>
            <w:tcBorders>
              <w:bottom w:val="single" w:sz="4" w:space="0" w:color="DFE7E3"/>
            </w:tcBorders>
          </w:tcPr>
          <w:p>
            <w:r>
              <w:rPr>
                <w:b w:val="0"/>
                <w:i w:val="0"/>
                <w:color w:val="33403B"/>
                <w:sz w:val="18"/>
              </w:rPr>
              <w:t>Prestataire maintenance automates (accès VPN permanent)</w:t>
            </w:r>
          </w:p>
        </w:tc>
        <w:tc>
          <w:tcPr>
            <w:tcW w:type="dxa" w:w="1849"/>
            <w:tcBorders>
              <w:bottom w:val="single" w:sz="4" w:space="0" w:color="DFE7E3"/>
            </w:tcBorders>
            <w:shd w:val="clear" w:color="auto" w:fill="FDEAED"/>
          </w:tcPr>
          <w:p>
            <w:r>
              <w:rPr>
                <w:b/>
                <w:i w:val="0"/>
                <w:color w:val="A3243C"/>
                <w:sz w:val="17"/>
              </w:rPr>
              <w:t>Critique</w:t>
            </w:r>
          </w:p>
        </w:tc>
        <w:tc>
          <w:tcPr>
            <w:tcW w:type="dxa" w:w="1513"/>
            <w:tcBorders>
              <w:bottom w:val="single" w:sz="4" w:space="0" w:color="DFE7E3"/>
            </w:tcBorders>
          </w:tcPr>
          <w:p>
            <w:pPr>
              <w:jc w:val="right"/>
            </w:pPr>
            <w:r>
              <w:rPr>
                <w:b w:val="0"/>
                <w:i w:val="0"/>
                <w:color w:val="33403B"/>
                <w:sz w:val="18"/>
              </w:rPr>
              <w:t>4.17</w:t>
            </w:r>
          </w:p>
        </w:tc>
        <w:tc>
          <w:tcPr>
            <w:tcW w:type="dxa" w:w="3025"/>
            <w:tcBorders>
              <w:bottom w:val="single" w:sz="4" w:space="0" w:color="DFE7E3"/>
            </w:tcBorders>
          </w:tcPr>
          <w:p>
            <w:pPr>
              <w:jc w:val="right"/>
            </w:pPr>
            <w:r>
              <w:rPr>
                <w:b w:val="0"/>
                <w:i w:val="0"/>
                <w:color w:val="33403B"/>
                <w:sz w:val="18"/>
              </w:rPr>
              <w:t>5 / 5 / 2 / 3</w:t>
            </w:r>
          </w:p>
        </w:tc>
      </w:tr>
      <w:tr>
        <w:tc>
          <w:tcPr>
            <w:tcW w:type="dxa" w:w="3025"/>
            <w:tcBorders>
              <w:bottom w:val="single" w:sz="4" w:space="0" w:color="DFE7E3"/>
            </w:tcBorders>
          </w:tcPr>
          <w:p>
            <w:r>
              <w:rPr>
                <w:b w:val="0"/>
                <w:i w:val="0"/>
                <w:color w:val="33403B"/>
                <w:sz w:val="18"/>
              </w:rPr>
              <w:t>Infogéreur poste de travail</w:t>
            </w:r>
          </w:p>
        </w:tc>
        <w:tc>
          <w:tcPr>
            <w:tcW w:type="dxa" w:w="1849"/>
            <w:tcBorders>
              <w:bottom w:val="single" w:sz="4" w:space="0" w:color="DFE7E3"/>
            </w:tcBorders>
            <w:shd w:val="clear" w:color="auto" w:fill="E8F4FD"/>
          </w:tcPr>
          <w:p>
            <w:r>
              <w:rPr>
                <w:b/>
                <w:i w:val="0"/>
                <w:color w:val="1D5F88"/>
                <w:sz w:val="17"/>
              </w:rPr>
              <w:t>Moyen</w:t>
            </w:r>
          </w:p>
        </w:tc>
        <w:tc>
          <w:tcPr>
            <w:tcW w:type="dxa" w:w="1513"/>
            <w:tcBorders>
              <w:bottom w:val="single" w:sz="4" w:space="0" w:color="DFE7E3"/>
            </w:tcBorders>
          </w:tcPr>
          <w:p>
            <w:pPr>
              <w:jc w:val="right"/>
            </w:pPr>
            <w:r>
              <w:rPr>
                <w:b w:val="0"/>
                <w:i w:val="0"/>
                <w:color w:val="33403B"/>
                <w:sz w:val="18"/>
              </w:rPr>
              <w:t>1.33</w:t>
            </w:r>
          </w:p>
        </w:tc>
        <w:tc>
          <w:tcPr>
            <w:tcW w:type="dxa" w:w="3025"/>
            <w:tcBorders>
              <w:bottom w:val="single" w:sz="4" w:space="0" w:color="DFE7E3"/>
            </w:tcBorders>
          </w:tcPr>
          <w:p>
            <w:pPr>
              <w:jc w:val="right"/>
            </w:pPr>
            <w:r>
              <w:rPr>
                <w:b w:val="0"/>
                <w:i w:val="0"/>
                <w:color w:val="33403B"/>
                <w:sz w:val="18"/>
              </w:rPr>
              <w:t>4 / 4 / 3 / 4</w:t>
            </w:r>
          </w:p>
        </w:tc>
      </w:tr>
      <w:tr>
        <w:tc>
          <w:tcPr>
            <w:tcW w:type="dxa" w:w="3025"/>
            <w:tcBorders>
              <w:bottom w:val="single" w:sz="4" w:space="0" w:color="DFE7E3"/>
            </w:tcBorders>
          </w:tcPr>
          <w:p>
            <w:r>
              <w:rPr>
                <w:b w:val="0"/>
                <w:i w:val="0"/>
                <w:color w:val="33403B"/>
                <w:sz w:val="18"/>
              </w:rPr>
              <w:t>Hébergeur Microsoft 365</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0.8</w:t>
            </w:r>
          </w:p>
        </w:tc>
        <w:tc>
          <w:tcPr>
            <w:tcW w:type="dxa" w:w="3025"/>
            <w:tcBorders>
              <w:bottom w:val="single" w:sz="4" w:space="0" w:color="DFE7E3"/>
            </w:tcBorders>
          </w:tcPr>
          <w:p>
            <w:pPr>
              <w:jc w:val="right"/>
            </w:pPr>
            <w:r>
              <w:rPr>
                <w:b w:val="0"/>
                <w:i w:val="0"/>
                <w:color w:val="33403B"/>
                <w:sz w:val="18"/>
              </w:rPr>
              <w:t>5 / 4 / 5 / 5</w:t>
            </w:r>
          </w:p>
        </w:tc>
      </w:tr>
      <w:tr>
        <w:tc>
          <w:tcPr>
            <w:tcW w:type="dxa" w:w="3025"/>
            <w:tcBorders>
              <w:bottom w:val="single" w:sz="4" w:space="0" w:color="DFE7E3"/>
            </w:tcBorders>
          </w:tcPr>
          <w:p>
            <w:r>
              <w:rPr>
                <w:b w:val="0"/>
                <w:i w:val="0"/>
                <w:color w:val="33403B"/>
                <w:sz w:val="18"/>
              </w:rPr>
              <w:t>Fournisseur de résines (portail EDI)</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0.67</w:t>
            </w:r>
          </w:p>
        </w:tc>
        <w:tc>
          <w:tcPr>
            <w:tcW w:type="dxa" w:w="3025"/>
            <w:tcBorders>
              <w:bottom w:val="single" w:sz="4" w:space="0" w:color="DFE7E3"/>
            </w:tcBorders>
          </w:tcPr>
          <w:p>
            <w:pPr>
              <w:jc w:val="right"/>
            </w:pPr>
            <w:r>
              <w:rPr>
                <w:b w:val="0"/>
                <w:i w:val="0"/>
                <w:color w:val="33403B"/>
                <w:sz w:val="18"/>
              </w:rPr>
              <w:t>3 / 2 / 3 / 3</w:t>
            </w:r>
          </w:p>
        </w:tc>
      </w:tr>
      <w:tr>
        <w:tc>
          <w:tcPr>
            <w:tcW w:type="dxa" w:w="3025"/>
            <w:tcBorders>
              <w:bottom w:val="single" w:sz="4" w:space="0" w:color="DFE7E3"/>
            </w:tcBorders>
          </w:tcPr>
          <w:p>
            <w:r>
              <w:rPr>
                <w:b w:val="0"/>
                <w:i w:val="0"/>
                <w:color w:val="33403B"/>
                <w:sz w:val="18"/>
              </w:rPr>
              <w:t>Cabinet d'expertise comptable</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0.17</w:t>
            </w:r>
          </w:p>
        </w:tc>
        <w:tc>
          <w:tcPr>
            <w:tcW w:type="dxa" w:w="3025"/>
            <w:tcBorders>
              <w:bottom w:val="single" w:sz="4" w:space="0" w:color="DFE7E3"/>
            </w:tcBorders>
          </w:tcPr>
          <w:p>
            <w:pPr>
              <w:jc w:val="right"/>
            </w:pPr>
            <w:r>
              <w:rPr>
                <w:b w:val="0"/>
                <w:i w:val="0"/>
                <w:color w:val="33403B"/>
                <w:sz w:val="18"/>
              </w:rPr>
              <w:t>2 / 1 / 3 / 4</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24 heures pour la ligne de production, 72 heures pour la bureautique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4 heures pour le MES, 24 heures pour les serveurs de fichiers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Objectif cible : règle 3-2-1 avec une copie immuable hors site et un test de restauration semestriel documenté. État constaté : sauvegarde quotidienne unique sur NAS secondaire du même VLAN, jamais restaurée en test.</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p>
      <w:r>
        <w:rPr>
          <w:b w:val="0"/>
          <w:i/>
          <w:color w:val="6B7F78"/>
          <w:sz w:val="18"/>
        </w:rPr>
        <w:t>Aucune check-list de conformité n'est rattachée à cette mission : l'évaluation organisationnelle relève ici de l'analyse de risque du chapitre 5.</w:t>
      </w:r>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6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tracé : exigence propre au volet GRC. (phase 3)</w:t>
            </w:r>
          </w:p>
        </w:tc>
      </w:tr>
    </w:tbl>
    <w:p/>
    <w:p>
      <w:r>
        <w:rPr>
          <w:b w:val="0"/>
          <w:i w:val="0"/>
          <w:color w:val="6B7F78"/>
          <w:sz w:val="18"/>
        </w:rPr>
        <w:t>1 pratique(s) couverte(s) sur 4 — 25 %.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Segmenter le réseau OT du réseau bureautique (pare-feu industriel, flux autorisés en liste blanche) — traite SO-01 et SO-02.</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Résilience</w:t>
            </w:r>
          </w:p>
        </w:tc>
        <w:tc>
          <w:tcPr>
            <w:tcW w:type="dxa" w:w="4620"/>
            <w:tcBorders>
              <w:bottom w:val="single" w:sz="4" w:space="0" w:color="DFE7E3"/>
            </w:tcBorders>
          </w:tcPr>
          <w:p>
            <w:r>
              <w:rPr>
                <w:b w:val="0"/>
                <w:i w:val="0"/>
                <w:color w:val="33403B"/>
                <w:sz w:val="18"/>
              </w:rPr>
              <w:t>Mettre en place une sauvegarde immuable hors site et tester la restauration complète du MES — traite ER-01.</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Généraliser le MFA à tous les comptes M365 et VPN, y compris prestataires — traite SO-01 et SO-02.</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Déployer un EDR sur les 168 postes et les serveurs, avec supervision — traite SO-01.</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Restreindre l'accès au NAS R&amp;D par groupe AD et bloquer les périphériques USB par GPO — traite SO-03.</w:t>
            </w:r>
          </w:p>
        </w:tc>
      </w:tr>
      <w:tr>
        <w:tc>
          <w:tcPr>
            <w:tcW w:type="dxa" w:w="1198"/>
            <w:tcBorders>
              <w:bottom w:val="single" w:sz="4" w:space="0" w:color="DFE7E3"/>
            </w:tcBorders>
          </w:tcPr>
          <w:p>
            <w:r>
              <w:rPr>
                <w:b w:val="0"/>
                <w:i w:val="0"/>
                <w:color w:val="33403B"/>
                <w:sz w:val="18"/>
              </w:rPr>
              <w:t>REM-06</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Faire adopter la PSSI par la direction et nommer un référent sécurité à temps partiel — aucune gouvernance formalisée à ce jour.</w:t>
            </w:r>
          </w:p>
        </w:tc>
      </w:tr>
      <w:tr>
        <w:tc>
          <w:tcPr>
            <w:tcW w:type="dxa" w:w="1198"/>
            <w:tcBorders>
              <w:bottom w:val="single" w:sz="4" w:space="0" w:color="DFE7E3"/>
            </w:tcBorders>
          </w:tcPr>
          <w:p>
            <w:r>
              <w:rPr>
                <w:b w:val="0"/>
                <w:i w:val="0"/>
                <w:color w:val="33403B"/>
                <w:sz w:val="18"/>
              </w:rPr>
              <w:t>REM-07</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Centraliser les journaux (AD, pare-feu, M365, NVR) avec une rétention de 12 mois — traite SO-04 et conditionne toute investigation.</w:t>
            </w:r>
          </w:p>
        </w:tc>
      </w:tr>
      <w:tr>
        <w:tc>
          <w:tcPr>
            <w:tcW w:type="dxa" w:w="1198"/>
            <w:tcBorders>
              <w:bottom w:val="single" w:sz="4" w:space="0" w:color="DFE7E3"/>
            </w:tcBorders>
          </w:tcPr>
          <w:p>
            <w:r>
              <w:rPr>
                <w:b w:val="0"/>
                <w:i w:val="0"/>
                <w:color w:val="33403B"/>
                <w:sz w:val="18"/>
              </w:rPr>
              <w:t>REM-08</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Mettre en place une revue trimestrielle des accès et un processus de départ salarié — traite SO-03.</w:t>
            </w:r>
          </w:p>
        </w:tc>
      </w:tr>
    </w:tbl>
    <w:p/>
    <w:p>
      <w:pPr>
        <w:spacing w:before="200" w:after="40"/>
      </w:pPr>
      <w:r>
        <w:rPr>
          <w:b/>
          <w:i w:val="0"/>
          <w:color w:val="0C2317"/>
          <w:sz w:val="21"/>
        </w:rPr>
        <w:t>11.2 Actions immédiates</w:t>
      </w:r>
    </w:p>
    <w:p>
      <w:pPr>
        <w:pStyle w:val="ListNumber"/>
      </w:pPr>
      <w:r>
        <w:rPr>
          <w:b w:val="0"/>
          <w:i w:val="0"/>
          <w:color w:val="33403B"/>
          <w:sz w:val="19"/>
        </w:rPr>
        <w:t>Activer le MFA sur la messagerie et le VPN</w:t>
      </w:r>
    </w:p>
    <w:p>
      <w:pPr>
        <w:pStyle w:val="ListNumber"/>
      </w:pPr>
      <w:r>
        <w:rPr>
          <w:b w:val="0"/>
          <w:i w:val="0"/>
          <w:color w:val="33403B"/>
          <w:sz w:val="19"/>
        </w:rPr>
        <w:t>Changer les mots de passe d'administration par défaut des automates</w:t>
      </w:r>
    </w:p>
    <w:p>
      <w:pPr>
        <w:pStyle w:val="ListNumber"/>
      </w:pPr>
      <w:r>
        <w:rPr>
          <w:b w:val="0"/>
          <w:i w:val="0"/>
          <w:color w:val="33403B"/>
          <w:sz w:val="19"/>
        </w:rPr>
        <w:t>Sortir une copie de sauvegarde du VLAN de production</w:t>
      </w:r>
    </w:p>
    <w:p>
      <w:pPr>
        <w:pStyle w:val="ListNumber"/>
      </w:pPr>
      <w:r>
        <w:rPr>
          <w:b w:val="0"/>
          <w:i w:val="0"/>
          <w:color w:val="33403B"/>
          <w:sz w:val="19"/>
        </w:rPr>
        <w:t>Sensibiliser les 204 salariés à l'hameçonnage</w:t>
      </w:r>
    </w:p>
    <w:p>
      <w:pPr>
        <w:pStyle w:val="ListNumber"/>
      </w:pPr>
      <w:r>
        <w:rPr>
          <w:b w:val="0"/>
          <w:i w:val="0"/>
          <w:color w:val="33403B"/>
          <w:sz w:val="19"/>
        </w:rPr>
        <w:t>Appliquer les correctifs critiques en attente sur les 2 contrôleurs de domaine</w:t>
      </w:r>
    </w:p>
    <w:p>
      <w:pPr>
        <w:pStyle w:val="ListNumber"/>
      </w:pPr>
      <w:r>
        <w:rPr>
          <w:b w:val="0"/>
          <w:i w:val="0"/>
          <w:color w:val="33403B"/>
          <w:sz w:val="19"/>
        </w:rPr>
        <w:t>Retirer les droits d'administrateur local aux utilisateurs standards</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13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7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19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8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85 h</w:t>
            </w:r>
          </w:p>
        </w:tc>
      </w:tr>
    </w:tbl>
    <w:p/>
    <w:p>
      <w:r>
        <w:rPr>
          <w:b w:val="0"/>
          <w:i w:val="0"/>
          <w:color w:val="6B7F78"/>
          <w:sz w:val="18"/>
        </w:rPr>
        <w:t>Budget vendu : 18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Vernier Composites SAS et sur les preuves collectées à la date du 30/07/2026,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Vernier Composites SAS</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be7b83a3386e9466227d8fc1dc3dc08973672f46b8ba0db1246997f7722e2e6b</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