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Politique de sécurité de l'information (PSSI) &amp; Plan de reprise (PRI)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I. Politique de sécurité de l'information (PSSI)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II. Plan de reprise informatique &amp; résilience (PRI)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I. Politique de sécurité de l'information (PSSI)</w:t>
      </w:r>
    </w:p>
    <w:p>
      <w:r>
        <w:rPr>
          <w:b w:val="0"/>
          <w:i/>
          <w:color w:val="6B7F78"/>
          <w:sz w:val="18"/>
        </w:rPr>
        <w:t>Aucune section PSSI n'a été rédigée à ce stade.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II. Plan de reprise informatique &amp; résilience (PRI)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Indicateurs temporels de continuité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118"/>
        <w:gridCol w:w="3294"/>
      </w:tblGrid>
      <w:tr>
        <w:tc>
          <w:tcPr>
            <w:tcW w:type="dxa" w:w="611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Indicateur</w:t>
            </w:r>
          </w:p>
        </w:tc>
        <w:tc>
          <w:tcPr>
            <w:tcW w:type="dxa" w:w="329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retenue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RTO — temps de reprise maximal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 heures pour le paiement instantané (fonction critique DORA), 8 heures pour la banque en ligne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RPO — perte de données maximale admissible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15 minutes pour les opérations de paiement, 1 heure pour les référentiels clients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Politique de sauvegarde et d'immuabilité</w:t>
      </w:r>
    </w:p>
    <w:p>
      <w:r>
        <w:rPr>
          <w:b w:val="0"/>
          <w:i w:val="0"/>
          <w:color w:val="33403B"/>
          <w:sz w:val="20"/>
        </w:rPr>
        <w:t>Réplication synchrone entre les deux datacenters, sauvegarde immuable quotidienne conservée 35 jours hors site, test de bascule complet trimestriel avec procès-verbal transmis à l'ACPR.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2.3 Séquence de remédiation en gestion de crise (E3R de l'ANSSI)</w:t>
      </w:r>
    </w:p>
    <w:p>
      <w:pPr>
        <w:spacing w:after="80"/>
      </w:pPr>
      <w:r>
        <w:rPr>
          <w:b w:val="0"/>
          <w:i w:val="0"/>
          <w:color w:val="6B7F78"/>
          <w:sz w:val="18"/>
        </w:rPr>
        <w:t>En cas de compromission majeure de l'Active Directory ou de l'infrastructure cloud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Étape E3R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Procédure retenue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Endiguement (contenir l'attaquant)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Isolement de la zone compromise par bascule sur le site de repli, gel des livraisons éditeur, activation de la cellule de crise avec astreinte RSSI sous 30 minutes.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Éviction (reprendre le contrôle du cœur de confiance)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Révocation des certificats et jetons d'interconnexion, réinitialisation des comptes à privilèges et des comptes de service, rupture temporaire du lien avec l'éditeur.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Éradication (nettoyage en profondeur)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Analyse forensique des binaires livrés, comparaison aux empreintes de référence, reconstruction des serveurs concernés depuis un socle durci vérifié.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Reconstruction (rebâtir dès la conception)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Remise en service progressive avec vérification d'intégrité comptable poste par poste, réconciliation des opérations sur la période suspecte, notification ACPR de clôture d'incident et retour d'expérience sous 30 jours.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Volet stratégique — arbitrage Direction</w:t>
      </w:r>
    </w:p>
    <w:p>
      <w:r>
        <w:rPr>
          <w:b w:val="0"/>
          <w:i/>
          <w:color w:val="6B7F78"/>
          <w:sz w:val="18"/>
        </w:rPr>
        <w:t>Le volet stratégique (arbitrage Direction) n'a pas été documenté.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 pour homologation de sécurité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la Direction de Banque Aurore SA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Général / RSSI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3ca73107646057080ff79d158338146604cc78d5156216c6344a97bdc48dabe0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