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412"/>
      </w:tblGrid>
      <w:tr>
        <w:trPr>
          <w:trHeight w:val="14571" w:hRule="atLeast"/>
        </w:trPr>
        <w:tc>
          <w:tcPr>
            <w:tcW w:type="dxa" w:w="9412"/>
            <w:vAlign w:val="center"/>
            <w:shd w:val="clear" w:color="auto" w:fill="04150E"/>
          </w:tcPr>
          <w:p>
            <w:pPr>
              <w:jc w:val="center"/>
            </w:pPr>
            <w:r>
              <w:drawing>
                <wp:inline xmlns:a="http://schemas.openxmlformats.org/drawingml/2006/main" xmlns:pic="http://schemas.openxmlformats.org/drawingml/2006/picture">
                  <wp:extent cx="684000" cy="684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84000" cy="684000"/>
                          </a:xfrm>
                          <a:prstGeom prst="rect"/>
                        </pic:spPr>
                      </pic:pic>
                    </a:graphicData>
                  </a:graphic>
                </wp:inline>
              </w:drawing>
            </w:r>
          </w:p>
          <w:p>
            <w:pPr>
              <w:spacing w:before="120"/>
              <w:jc w:val="center"/>
            </w:pPr>
            <w:r>
              <w:rPr>
                <w:b/>
                <w:i w:val="0"/>
                <w:color w:val="FFFFFF"/>
                <w:sz w:val="26"/>
              </w:rPr>
              <w:t>GREEN SHIELD</w:t>
            </w:r>
          </w:p>
          <w:p>
            <w:pPr>
              <w:jc w:val="center"/>
            </w:pPr>
            <w:r>
              <w:rPr>
                <w:b w:val="0"/>
                <w:i/>
                <w:color w:val="7BF3C8"/>
                <w:sz w:val="18"/>
              </w:rPr>
              <w:t>Cabinet non renseigné</w:t>
            </w:r>
          </w:p>
          <w:p>
            <w:pPr>
              <w:spacing w:before="560"/>
              <w:jc w:val="center"/>
            </w:pPr>
            <w:r>
              <w:rPr>
                <w:b/>
                <w:i w:val="0"/>
                <w:color w:val="FFFFFF"/>
                <w:sz w:val="44"/>
              </w:rPr>
              <w:t>Rapport d'audit de conformité &amp; GRC</w:t>
            </w:r>
          </w:p>
          <w:p>
            <w:pPr>
              <w:spacing w:before="120"/>
              <w:jc w:val="center"/>
            </w:pPr>
            <w:r>
              <w:rPr>
                <w:b/>
                <w:i w:val="0"/>
                <w:color w:val="2EE6A0"/>
                <w:sz w:val="28"/>
              </w:rPr>
              <w:t>Banque Aurore SA</w:t>
            </w:r>
          </w:p>
          <w:p>
            <w:pPr>
              <w:jc w:val="center"/>
            </w:pPr>
            <w:r>
              <w:rPr>
                <w:b w:val="0"/>
                <w:i w:val="0"/>
                <w:color w:val="A8C6BC"/>
                <w:sz w:val="20"/>
              </w:rPr>
              <w:t>Audit de conformité ISO 27001 &amp; DORA</w:t>
            </w:r>
          </w:p>
          <w:p>
            <w:pPr>
              <w:spacing w:before="400"/>
              <w:jc w:val="center"/>
            </w:pPr>
            <w:r>
              <w:rPr>
                <w:b w:val="0"/>
                <w:i w:val="0"/>
                <w:color w:val="8FB3A8"/>
                <w:sz w:val="17"/>
              </w:rPr>
              <w:t xml:space="preserve">Réf. mission : </w:t>
            </w:r>
            <w:r>
              <w:rPr>
                <w:b/>
                <w:i w:val="0"/>
                <w:color w:val="EAF4F0"/>
                <w:sz w:val="17"/>
              </w:rPr>
              <w:t>audit_de_conformite_iso_27001_et_dora</w:t>
            </w:r>
            <w:r>
              <w:rPr>
                <w:color w:val="3E5A50"/>
              </w:rPr>
              <w:t xml:space="preserve">    ·    </w:t>
            </w:r>
            <w:r>
              <w:rPr>
                <w:b w:val="0"/>
                <w:i w:val="0"/>
                <w:color w:val="8FB3A8"/>
                <w:sz w:val="17"/>
              </w:rPr>
              <w:t xml:space="preserve">Méthode : </w:t>
            </w:r>
            <w:r>
              <w:rPr>
                <w:b/>
                <w:i w:val="0"/>
                <w:color w:val="EAF4F0"/>
                <w:sz w:val="17"/>
              </w:rPr>
              <w:t>ISO 27001 / DORA</w:t>
            </w:r>
            <w:r>
              <w:rPr>
                <w:color w:val="3E5A50"/>
              </w:rPr>
              <w:t xml:space="preserve">    ·    </w:t>
            </w:r>
            <w:r>
              <w:rPr>
                <w:b w:val="0"/>
                <w:i w:val="0"/>
                <w:color w:val="8FB3A8"/>
                <w:sz w:val="17"/>
              </w:rPr>
              <w:t xml:space="preserve">Référentiel : </w:t>
            </w:r>
            <w:r>
              <w:rPr>
                <w:b/>
                <w:i w:val="0"/>
                <w:color w:val="EAF4F0"/>
                <w:sz w:val="17"/>
              </w:rPr>
              <w:t>ISO/IEC 27001:2022</w:t>
            </w:r>
            <w:r>
              <w:rPr>
                <w:color w:val="3E5A50"/>
              </w:rPr>
              <w:t xml:space="preserve">    ·    </w:t>
            </w:r>
            <w:r>
              <w:rPr>
                <w:b w:val="0"/>
                <w:i w:val="0"/>
                <w:color w:val="8FB3A8"/>
                <w:sz w:val="17"/>
              </w:rPr>
              <w:t xml:space="preserve">Budget vendu : </w:t>
            </w:r>
            <w:r>
              <w:rPr>
                <w:b/>
                <w:i w:val="0"/>
                <w:color w:val="EAF4F0"/>
                <w:sz w:val="17"/>
              </w:rPr>
              <w:t>34 jours</w:t>
            </w:r>
            <w:r>
              <w:rPr>
                <w:color w:val="3E5A50"/>
              </w:rPr>
              <w:t xml:space="preserve">    ·    </w:t>
            </w:r>
            <w:r>
              <w:rPr>
                <w:b w:val="0"/>
                <w:i w:val="0"/>
                <w:color w:val="8FB3A8"/>
                <w:sz w:val="17"/>
              </w:rPr>
              <w:t xml:space="preserve">Auditeur : </w:t>
            </w:r>
            <w:r>
              <w:rPr>
                <w:b/>
                <w:i w:val="0"/>
                <w:color w:val="EAF4F0"/>
                <w:sz w:val="17"/>
              </w:rPr>
              <w:t>—</w:t>
            </w:r>
            <w:r>
              <w:rPr>
                <w:color w:val="3E5A50"/>
              </w:rPr>
              <w:t xml:space="preserve">    ·    </w:t>
            </w:r>
            <w:r>
              <w:rPr>
                <w:b w:val="0"/>
                <w:i w:val="0"/>
                <w:color w:val="8FB3A8"/>
                <w:sz w:val="17"/>
              </w:rPr>
              <w:t xml:space="preserve">Cabinet : </w:t>
            </w:r>
            <w:r>
              <w:rPr>
                <w:b/>
                <w:i w:val="0"/>
                <w:color w:val="EAF4F0"/>
                <w:sz w:val="17"/>
              </w:rPr>
              <w:t>Cabinet non renseigné</w:t>
            </w:r>
            <w:r>
              <w:rPr>
                <w:color w:val="3E5A50"/>
              </w:rPr>
              <w:t xml:space="preserve">    ·    </w:t>
            </w:r>
            <w:r>
              <w:rPr>
                <w:b w:val="0"/>
                <w:i w:val="0"/>
                <w:color w:val="8FB3A8"/>
                <w:sz w:val="17"/>
              </w:rPr>
              <w:t xml:space="preserve">Édition : </w:t>
            </w:r>
            <w:r>
              <w:rPr>
                <w:b/>
                <w:i w:val="0"/>
                <w:color w:val="EAF4F0"/>
                <w:sz w:val="17"/>
              </w:rPr>
              <w:t>30/07/2026</w:t>
            </w:r>
          </w:p>
          <w:p>
            <w:pPr>
              <w:spacing w:before="360"/>
              <w:jc w:val="center"/>
            </w:pPr>
            <w:r>
              <w:rPr>
                <w:b/>
                <w:i w:val="0"/>
                <w:color w:val="7BF3C8"/>
                <w:sz w:val="16"/>
              </w:rPr>
              <w:t xml:space="preserve">  DOCUMENT CONFIDENTIEL — DIFFUSION RESTREINTE  </w:t>
            </w:r>
          </w:p>
        </w:tc>
      </w:tr>
    </w:tbl>
    <w:p>
      <w:r>
        <w:br w:type="page"/>
      </w:r>
    </w:p>
    <w:p>
      <w:pPr>
        <w:spacing w:after="160"/>
      </w:pPr>
      <w:r>
        <w:rPr>
          <w:b/>
          <w:i w:val="0"/>
          <w:color w:val="0C2317"/>
          <w:sz w:val="26"/>
        </w:rPr>
        <w:t>Sommaire</w:t>
      </w:r>
    </w:p>
    <w:p>
      <w:pPr>
        <w:spacing w:after="40"/>
      </w:pPr>
      <w:r>
        <w:rPr>
          <w:b w:val="0"/>
          <w:i w:val="0"/>
          <w:color w:val="2EE6A0"/>
          <w:sz w:val="20"/>
        </w:rPr>
        <w:t xml:space="preserve">1.  </w:t>
      </w:r>
      <w:r>
        <w:rPr>
          <w:b w:val="0"/>
          <w:i w:val="0"/>
          <w:color w:val="33403B"/>
          <w:sz w:val="20"/>
        </w:rPr>
        <w:t>Synthèse à destination de la direction</w:t>
      </w:r>
    </w:p>
    <w:p>
      <w:pPr>
        <w:spacing w:after="40"/>
      </w:pPr>
      <w:r>
        <w:rPr>
          <w:b w:val="0"/>
          <w:i w:val="0"/>
          <w:color w:val="2EE6A0"/>
          <w:sz w:val="20"/>
        </w:rPr>
        <w:t xml:space="preserve">2.  </w:t>
      </w:r>
      <w:r>
        <w:rPr>
          <w:b w:val="0"/>
          <w:i w:val="0"/>
          <w:color w:val="33403B"/>
          <w:sz w:val="20"/>
        </w:rPr>
        <w:t>Cadrage de la mission</w:t>
      </w:r>
    </w:p>
    <w:p>
      <w:pPr>
        <w:spacing w:after="40"/>
      </w:pPr>
      <w:r>
        <w:rPr>
          <w:b w:val="0"/>
          <w:i w:val="0"/>
          <w:color w:val="2EE6A0"/>
          <w:sz w:val="20"/>
        </w:rPr>
        <w:t xml:space="preserve">3.  </w:t>
      </w:r>
      <w:r>
        <w:rPr>
          <w:b w:val="0"/>
          <w:i w:val="0"/>
          <w:color w:val="33403B"/>
          <w:sz w:val="20"/>
        </w:rPr>
        <w:t>Patrimoine évalué</w:t>
      </w:r>
    </w:p>
    <w:p>
      <w:pPr>
        <w:spacing w:after="40"/>
      </w:pPr>
      <w:r>
        <w:rPr>
          <w:b w:val="0"/>
          <w:i w:val="0"/>
          <w:color w:val="2EE6A0"/>
          <w:sz w:val="20"/>
        </w:rPr>
        <w:t xml:space="preserve">4.  </w:t>
      </w:r>
      <w:r>
        <w:rPr>
          <w:b w:val="0"/>
          <w:i w:val="0"/>
          <w:color w:val="33403B"/>
          <w:sz w:val="20"/>
        </w:rPr>
        <w:t>Protection des données personnelles</w:t>
      </w:r>
    </w:p>
    <w:p>
      <w:pPr>
        <w:spacing w:after="40"/>
      </w:pPr>
      <w:r>
        <w:rPr>
          <w:b w:val="0"/>
          <w:i w:val="0"/>
          <w:color w:val="2EE6A0"/>
          <w:sz w:val="20"/>
        </w:rPr>
        <w:t xml:space="preserve">5.  </w:t>
      </w:r>
      <w:r>
        <w:rPr>
          <w:b w:val="0"/>
          <w:i w:val="0"/>
          <w:color w:val="33403B"/>
          <w:sz w:val="20"/>
        </w:rPr>
        <w:t>Analyse de risque</w:t>
      </w:r>
    </w:p>
    <w:p>
      <w:pPr>
        <w:spacing w:after="40"/>
      </w:pPr>
      <w:r>
        <w:rPr>
          <w:b w:val="0"/>
          <w:i w:val="0"/>
          <w:color w:val="2EE6A0"/>
          <w:sz w:val="20"/>
        </w:rPr>
        <w:t xml:space="preserve">6.  </w:t>
      </w:r>
      <w:r>
        <w:rPr>
          <w:b w:val="0"/>
          <w:i w:val="0"/>
          <w:color w:val="33403B"/>
          <w:sz w:val="20"/>
        </w:rPr>
        <w:t>Écosystème et risques tiers</w:t>
      </w:r>
    </w:p>
    <w:p>
      <w:pPr>
        <w:spacing w:after="40"/>
      </w:pPr>
      <w:r>
        <w:rPr>
          <w:b w:val="0"/>
          <w:i w:val="0"/>
          <w:color w:val="2EE6A0"/>
          <w:sz w:val="20"/>
        </w:rPr>
        <w:t xml:space="preserve">7.  </w:t>
      </w:r>
      <w:r>
        <w:rPr>
          <w:b w:val="0"/>
          <w:i w:val="0"/>
          <w:color w:val="33403B"/>
          <w:sz w:val="20"/>
        </w:rPr>
        <w:t>Résilience et continuité</w:t>
      </w:r>
    </w:p>
    <w:p>
      <w:pPr>
        <w:spacing w:after="40"/>
      </w:pPr>
      <w:r>
        <w:rPr>
          <w:b w:val="0"/>
          <w:i w:val="0"/>
          <w:color w:val="2EE6A0"/>
          <w:sz w:val="20"/>
        </w:rPr>
        <w:t xml:space="preserve">8.  </w:t>
      </w:r>
      <w:r>
        <w:rPr>
          <w:b w:val="0"/>
          <w:i w:val="0"/>
          <w:color w:val="33403B"/>
          <w:sz w:val="20"/>
        </w:rPr>
        <w:t>Évaluation organisationnelle</w:t>
      </w:r>
    </w:p>
    <w:p>
      <w:pPr>
        <w:spacing w:after="40"/>
      </w:pPr>
      <w:r>
        <w:rPr>
          <w:b w:val="0"/>
          <w:i w:val="0"/>
          <w:color w:val="2EE6A0"/>
          <w:sz w:val="20"/>
        </w:rPr>
        <w:t xml:space="preserve">9.  </w:t>
      </w:r>
      <w:r>
        <w:rPr>
          <w:b w:val="0"/>
          <w:i w:val="0"/>
          <w:color w:val="33403B"/>
          <w:sz w:val="20"/>
        </w:rPr>
        <w:t>Évaluation technique des configurations</w:t>
      </w:r>
    </w:p>
    <w:p>
      <w:pPr>
        <w:spacing w:after="40"/>
      </w:pPr>
      <w:r>
        <w:rPr>
          <w:b w:val="0"/>
          <w:i w:val="0"/>
          <w:color w:val="2EE6A0"/>
          <w:sz w:val="20"/>
        </w:rPr>
        <w:t xml:space="preserve">10.  </w:t>
      </w:r>
      <w:r>
        <w:rPr>
          <w:b w:val="0"/>
          <w:i w:val="0"/>
          <w:color w:val="33403B"/>
          <w:sz w:val="20"/>
        </w:rPr>
        <w:t>Rattachement aux référentiels (CIS v8 / NIST CSF 2.0)</w:t>
      </w:r>
    </w:p>
    <w:p>
      <w:pPr>
        <w:spacing w:after="40"/>
      </w:pPr>
      <w:r>
        <w:rPr>
          <w:b w:val="0"/>
          <w:i w:val="0"/>
          <w:color w:val="2EE6A0"/>
          <w:sz w:val="20"/>
        </w:rPr>
        <w:t xml:space="preserve">11.  </w:t>
      </w:r>
      <w:r>
        <w:rPr>
          <w:b w:val="0"/>
          <w:i w:val="0"/>
          <w:color w:val="33403B"/>
          <w:sz w:val="20"/>
        </w:rPr>
        <w:t>Plan de traitement</w:t>
      </w:r>
    </w:p>
    <w:p>
      <w:pPr>
        <w:spacing w:after="40"/>
      </w:pPr>
      <w:r>
        <w:rPr>
          <w:b w:val="0"/>
          <w:i w:val="0"/>
          <w:color w:val="2EE6A0"/>
          <w:sz w:val="20"/>
        </w:rPr>
        <w:t xml:space="preserve">12.  </w:t>
      </w:r>
      <w:r>
        <w:rPr>
          <w:b w:val="0"/>
          <w:i w:val="0"/>
          <w:color w:val="33403B"/>
          <w:sz w:val="20"/>
        </w:rPr>
        <w:t>Charges consommées</w:t>
      </w:r>
    </w:p>
    <w:p>
      <w:pPr>
        <w:spacing w:after="40"/>
      </w:pPr>
      <w:r>
        <w:rPr>
          <w:b w:val="0"/>
          <w:i w:val="0"/>
          <w:color w:val="2EE6A0"/>
          <w:sz w:val="20"/>
        </w:rPr>
        <w:t xml:space="preserve">13.  </w:t>
      </w:r>
      <w:r>
        <w:rPr>
          <w:b w:val="0"/>
          <w:i w:val="0"/>
          <w:color w:val="33403B"/>
          <w:sz w:val="20"/>
        </w:rPr>
        <w:t>Réserves et limites</w:t>
      </w:r>
    </w:p>
    <w:p>
      <w:pPr>
        <w:spacing w:after="40"/>
      </w:pPr>
      <w:r>
        <w:rPr>
          <w:b w:val="0"/>
          <w:i w:val="0"/>
          <w:color w:val="2EE6A0"/>
          <w:sz w:val="20"/>
        </w:rPr>
        <w:t xml:space="preserve">14.  </w:t>
      </w:r>
      <w:r>
        <w:rPr>
          <w:b w:val="0"/>
          <w:i w:val="0"/>
          <w:color w:val="33403B"/>
          <w:sz w:val="20"/>
        </w:rPr>
        <w:t>Certifications et signatures</w:t>
      </w:r>
    </w:p>
    <w:p>
      <w:r>
        <w:br w:type="page"/>
      </w:r>
    </w:p>
    <w:p>
      <w:pPr>
        <w:spacing w:before="80" w:after="160"/>
        <w:pBdr>
          <w:bottom w:val="single" w:sz="16" w:space="4" w:color="2EE6A0"/>
        </w:pBdr>
      </w:pPr>
      <w:r>
        <w:rPr>
          <w:b/>
          <w:i w:val="0"/>
          <w:color w:val="2EE6A0"/>
          <w:sz w:val="28"/>
        </w:rPr>
        <w:t xml:space="preserve">1. </w:t>
      </w:r>
      <w:r>
        <w:rPr>
          <w:b/>
          <w:i w:val="0"/>
          <w:color w:val="0C2317"/>
          <w:sz w:val="28"/>
        </w:rPr>
        <w:t>Synthèse à destination de la direction</w:t>
      </w:r>
    </w:p>
    <w:p>
      <w:pPr>
        <w:spacing w:after="120"/>
      </w:pPr>
      <w:r>
        <w:rPr>
          <w:b w:val="0"/>
          <w:i w:val="0"/>
          <w:color w:val="33403B"/>
          <w:sz w:val="22"/>
        </w:rPr>
        <w:t>La banque présente une maturité de sécurité supérieure à la moyenne de son segment : gouvernance établie, journalisation centralisée, résilience testée. Deux écarts majeurs subsistent et exposent directement à un constat ACPR : la gestion des départs (14 comptes actifs de sortants) et l'inventaire des actifs (37 serveurs inconnus). Le registre DORA des prestataires est incomplet sur 3 des 4 prestataires critiques. Aucun de ces écarts n'est structurel : ils relèvent de processus à formaliser, pas d'investissements lourds.</w:t>
      </w:r>
    </w:p>
    <w:p>
      <w:pPr>
        <w:spacing w:before="400" w:after="160"/>
        <w:pBdr>
          <w:bottom w:val="single" w:sz="16" w:space="4" w:color="2EE6A0"/>
        </w:pBdr>
      </w:pPr>
      <w:r>
        <w:rPr>
          <w:b/>
          <w:i w:val="0"/>
          <w:color w:val="2EE6A0"/>
          <w:sz w:val="28"/>
        </w:rPr>
        <w:t xml:space="preserve">2. </w:t>
      </w:r>
      <w:r>
        <w:rPr>
          <w:b/>
          <w:i w:val="0"/>
          <w:color w:val="0C2317"/>
          <w:sz w:val="28"/>
        </w:rPr>
        <w:t>Cadrage de la mission</w:t>
      </w:r>
    </w:p>
    <w:tbl>
      <w:tblPr>
        <w:tblW w:type="auto" w:w="0"/>
        <w:jc w:val="left"/>
        <w:tblLayout w:type="fixed"/>
        <w:tblLook w:firstColumn="1" w:firstRow="1" w:lastColumn="0" w:lastRow="0" w:noHBand="0" w:noVBand="1" w:val="04A0"/>
      </w:tblPr>
      <w:tblGrid>
        <w:gridCol w:w="2852"/>
        <w:gridCol w:w="6560"/>
      </w:tblGrid>
      <w:tr>
        <w:tc>
          <w:tcPr>
            <w:tcW w:type="dxa" w:w="2852"/>
            <w:shd w:val="clear" w:color="auto" w:fill="F2FBF7"/>
            <w:tcBorders>
              <w:bottom w:val="single" w:sz="6" w:space="0" w:color="C9DBD3"/>
            </w:tcBorders>
          </w:tcPr>
          <w:p>
            <w:r>
              <w:rPr>
                <w:b/>
                <w:i w:val="0"/>
                <w:color w:val="0C2317"/>
                <w:sz w:val="16"/>
              </w:rPr>
              <w:t>Élément de cadrage</w:t>
            </w:r>
          </w:p>
        </w:tc>
        <w:tc>
          <w:tcPr>
            <w:tcW w:type="dxa" w:w="6560"/>
            <w:shd w:val="clear" w:color="auto" w:fill="F2FBF7"/>
            <w:tcBorders>
              <w:bottom w:val="single" w:sz="6" w:space="0" w:color="C9DBD3"/>
            </w:tcBorders>
          </w:tcPr>
          <w:p>
            <w:r>
              <w:rPr>
                <w:b/>
                <w:i w:val="0"/>
                <w:color w:val="0C2317"/>
                <w:sz w:val="16"/>
              </w:rPr>
              <w:t>Contenu</w:t>
            </w:r>
          </w:p>
        </w:tc>
      </w:tr>
      <w:tr>
        <w:tc>
          <w:tcPr>
            <w:tcW w:type="dxa" w:w="2852"/>
            <w:tcBorders>
              <w:bottom w:val="single" w:sz="4" w:space="0" w:color="DFE7E3"/>
            </w:tcBorders>
          </w:tcPr>
          <w:p>
            <w:r>
              <w:rPr>
                <w:b w:val="0"/>
                <w:i w:val="0"/>
                <w:color w:val="33403B"/>
                <w:sz w:val="18"/>
              </w:rPr>
              <w:t>Déclencheur de la mission</w:t>
            </w:r>
          </w:p>
        </w:tc>
        <w:tc>
          <w:tcPr>
            <w:tcW w:type="dxa" w:w="6560"/>
            <w:tcBorders>
              <w:bottom w:val="single" w:sz="4" w:space="0" w:color="DFE7E3"/>
            </w:tcBorders>
          </w:tcPr>
          <w:p>
            <w:r>
              <w:rPr>
                <w:b w:val="0"/>
                <w:i w:val="0"/>
                <w:color w:val="33403B"/>
                <w:sz w:val="18"/>
              </w:rPr>
              <w:t>Entrée en application de DORA et notification d'entité essentielle NIS2, doublées d'une revue ACPR annoncée pour le premier trimestre 2027.</w:t>
            </w:r>
          </w:p>
        </w:tc>
      </w:tr>
      <w:tr>
        <w:tc>
          <w:tcPr>
            <w:tcW w:type="dxa" w:w="2852"/>
            <w:tcBorders>
              <w:bottom w:val="single" w:sz="4" w:space="0" w:color="DFE7E3"/>
            </w:tcBorders>
          </w:tcPr>
          <w:p>
            <w:r>
              <w:rPr>
                <w:b w:val="0"/>
                <w:i w:val="0"/>
                <w:color w:val="33403B"/>
                <w:sz w:val="18"/>
              </w:rPr>
              <w:t>Sponsor exécutif</w:t>
            </w:r>
          </w:p>
        </w:tc>
        <w:tc>
          <w:tcPr>
            <w:tcW w:type="dxa" w:w="6560"/>
            <w:tcBorders>
              <w:bottom w:val="single" w:sz="4" w:space="0" w:color="DFE7E3"/>
            </w:tcBorders>
          </w:tcPr>
          <w:p>
            <w:r>
              <w:rPr>
                <w:b w:val="0"/>
                <w:i w:val="0"/>
                <w:color w:val="33403B"/>
                <w:sz w:val="18"/>
              </w:rPr>
              <w:t>Directeur des Risques (rattachement direct au Directoire)</w:t>
            </w:r>
          </w:p>
        </w:tc>
      </w:tr>
      <w:tr>
        <w:tc>
          <w:tcPr>
            <w:tcW w:type="dxa" w:w="2852"/>
            <w:tcBorders>
              <w:bottom w:val="single" w:sz="4" w:space="0" w:color="DFE7E3"/>
            </w:tcBorders>
          </w:tcPr>
          <w:p>
            <w:r>
              <w:rPr>
                <w:b w:val="0"/>
                <w:i w:val="0"/>
                <w:color w:val="33403B"/>
                <w:sz w:val="18"/>
              </w:rPr>
              <w:t>Budget vendu</w:t>
            </w:r>
          </w:p>
        </w:tc>
        <w:tc>
          <w:tcPr>
            <w:tcW w:type="dxa" w:w="6560"/>
            <w:tcBorders>
              <w:bottom w:val="single" w:sz="4" w:space="0" w:color="DFE7E3"/>
            </w:tcBorders>
          </w:tcPr>
          <w:p>
            <w:r>
              <w:rPr>
                <w:b w:val="0"/>
                <w:i w:val="0"/>
                <w:color w:val="33403B"/>
                <w:sz w:val="18"/>
              </w:rPr>
              <w:t>34 jours</w:t>
            </w:r>
          </w:p>
        </w:tc>
      </w:tr>
      <w:tr>
        <w:tc>
          <w:tcPr>
            <w:tcW w:type="dxa" w:w="2852"/>
            <w:tcBorders>
              <w:bottom w:val="single" w:sz="4" w:space="0" w:color="DFE7E3"/>
            </w:tcBorders>
          </w:tcPr>
          <w:p>
            <w:r>
              <w:rPr>
                <w:b w:val="0"/>
                <w:i w:val="0"/>
                <w:color w:val="33403B"/>
                <w:sz w:val="18"/>
              </w:rPr>
              <w:t>Maturité constatée à l'entrée</w:t>
            </w:r>
          </w:p>
        </w:tc>
        <w:tc>
          <w:tcPr>
            <w:tcW w:type="dxa" w:w="6560"/>
            <w:tcBorders>
              <w:bottom w:val="single" w:sz="4" w:space="0" w:color="DFE7E3"/>
            </w:tcBorders>
          </w:tcPr>
          <w:p>
            <w:r>
              <w:rPr>
                <w:b w:val="0"/>
                <w:i w:val="0"/>
                <w:color w:val="33403B"/>
                <w:sz w:val="18"/>
              </w:rPr>
              <w:t>Élevée sur la gouvernance et la résilience, hétérogène sur la gestion des accès et des actifs.</w:t>
            </w:r>
          </w:p>
        </w:tc>
      </w:tr>
      <w:tr>
        <w:tc>
          <w:tcPr>
            <w:tcW w:type="dxa" w:w="2852"/>
            <w:tcBorders>
              <w:bottom w:val="single" w:sz="4" w:space="0" w:color="DFE7E3"/>
            </w:tcBorders>
          </w:tcPr>
          <w:p>
            <w:r>
              <w:rPr>
                <w:b w:val="0"/>
                <w:i w:val="0"/>
                <w:color w:val="33403B"/>
                <w:sz w:val="18"/>
              </w:rPr>
              <w:t>Équipe interne mobilisable</w:t>
            </w:r>
          </w:p>
        </w:tc>
        <w:tc>
          <w:tcPr>
            <w:tcW w:type="dxa" w:w="6560"/>
            <w:tcBorders>
              <w:bottom w:val="single" w:sz="4" w:space="0" w:color="DFE7E3"/>
            </w:tcBorders>
          </w:tcPr>
          <w:p>
            <w:r>
              <w:rPr>
                <w:b w:val="0"/>
                <w:i w:val="0"/>
                <w:color w:val="33403B"/>
                <w:sz w:val="18"/>
              </w:rPr>
              <w:t>RSSI, 2 analystes SOC, 1 correspondant conformité, DPO interne.</w:t>
            </w:r>
          </w:p>
        </w:tc>
      </w:tr>
      <w:tr>
        <w:tc>
          <w:tcPr>
            <w:tcW w:type="dxa" w:w="2852"/>
            <w:tcBorders>
              <w:bottom w:val="single" w:sz="4" w:space="0" w:color="DFE7E3"/>
            </w:tcBorders>
          </w:tcPr>
          <w:p>
            <w:r>
              <w:rPr>
                <w:b w:val="0"/>
                <w:i w:val="0"/>
                <w:color w:val="33403B"/>
                <w:sz w:val="18"/>
              </w:rPr>
              <w:t>Échéance cible</w:t>
            </w:r>
          </w:p>
        </w:tc>
        <w:tc>
          <w:tcPr>
            <w:tcW w:type="dxa" w:w="6560"/>
            <w:tcBorders>
              <w:bottom w:val="single" w:sz="4" w:space="0" w:color="DFE7E3"/>
            </w:tcBorders>
          </w:tcPr>
          <w:p>
            <w:r>
              <w:rPr>
                <w:b w:val="0"/>
                <w:i w:val="0"/>
                <w:color w:val="33403B"/>
                <w:sz w:val="18"/>
              </w:rPr>
              <w:t>2027-01-31 (revue ACPR)</w:t>
            </w:r>
          </w:p>
        </w:tc>
      </w:tr>
      <w:tr>
        <w:tc>
          <w:tcPr>
            <w:tcW w:type="dxa" w:w="2852"/>
            <w:tcBorders>
              <w:bottom w:val="single" w:sz="4" w:space="0" w:color="DFE7E3"/>
            </w:tcBorders>
          </w:tcPr>
          <w:p>
            <w:r>
              <w:rPr>
                <w:b w:val="0"/>
                <w:i w:val="0"/>
                <w:color w:val="33403B"/>
                <w:sz w:val="18"/>
              </w:rPr>
              <w:t>Périmètre inclus</w:t>
            </w:r>
          </w:p>
        </w:tc>
        <w:tc>
          <w:tcPr>
            <w:tcW w:type="dxa" w:w="6560"/>
            <w:tcBorders>
              <w:bottom w:val="single" w:sz="4" w:space="0" w:color="DFE7E3"/>
            </w:tcBorders>
          </w:tcPr>
          <w:p>
            <w:r>
              <w:rPr>
                <w:b w:val="0"/>
                <w:i w:val="0"/>
                <w:color w:val="33403B"/>
                <w:sz w:val="18"/>
              </w:rPr>
              <w:t>Banque de détail, services de paiement, fonctions critiques DORA, conformité ISO 27001 sur les 4 domaines audités.</w:t>
            </w:r>
          </w:p>
        </w:tc>
      </w:tr>
      <w:tr>
        <w:tc>
          <w:tcPr>
            <w:tcW w:type="dxa" w:w="2852"/>
            <w:tcBorders>
              <w:bottom w:val="single" w:sz="4" w:space="0" w:color="DFE7E3"/>
            </w:tcBorders>
          </w:tcPr>
          <w:p>
            <w:r>
              <w:rPr>
                <w:b w:val="0"/>
                <w:i w:val="0"/>
                <w:color w:val="33403B"/>
                <w:sz w:val="18"/>
              </w:rPr>
              <w:t>Périmètre explicitement exclu</w:t>
            </w:r>
          </w:p>
        </w:tc>
        <w:tc>
          <w:tcPr>
            <w:tcW w:type="dxa" w:w="6560"/>
            <w:tcBorders>
              <w:bottom w:val="single" w:sz="4" w:space="0" w:color="DFE7E3"/>
            </w:tcBorders>
          </w:tcPr>
          <w:p>
            <w:r>
              <w:rPr>
                <w:b w:val="0"/>
                <w:i w:val="0"/>
                <w:color w:val="33403B"/>
                <w:sz w:val="18"/>
              </w:rPr>
              <w:t>Salle de marché, agences physiques, test d'intrusion applicatif (couvert par un marché distinct).</w:t>
            </w:r>
          </w:p>
        </w:tc>
      </w:tr>
      <w:tr>
        <w:tc>
          <w:tcPr>
            <w:tcW w:type="dxa" w:w="2852"/>
            <w:tcBorders>
              <w:bottom w:val="single" w:sz="4" w:space="0" w:color="DFE7E3"/>
            </w:tcBorders>
          </w:tcPr>
          <w:p>
            <w:r>
              <w:rPr>
                <w:b w:val="0"/>
                <w:i w:val="0"/>
                <w:color w:val="33403B"/>
                <w:sz w:val="18"/>
              </w:rPr>
              <w:t>Modalités d'intervention</w:t>
            </w:r>
          </w:p>
        </w:tc>
        <w:tc>
          <w:tcPr>
            <w:tcW w:type="dxa" w:w="6560"/>
            <w:tcBorders>
              <w:bottom w:val="single" w:sz="4" w:space="0" w:color="DFE7E3"/>
            </w:tcBorders>
          </w:tcPr>
          <w:p>
            <w:r>
              <w:rPr>
                <w:b w:val="0"/>
                <w:i w:val="0"/>
                <w:color w:val="33403B"/>
                <w:sz w:val="18"/>
              </w:rPr>
              <w:t>Mission en 6 phases sur 14 semaines, 8 jours sur site, comité de suivi mensuel avec le Directeur des Risques.</w:t>
            </w:r>
          </w:p>
        </w:tc>
      </w:tr>
      <w:tr>
        <w:tc>
          <w:tcPr>
            <w:tcW w:type="dxa" w:w="2852"/>
            <w:tcBorders>
              <w:bottom w:val="single" w:sz="4" w:space="0" w:color="DFE7E3"/>
            </w:tcBorders>
          </w:tcPr>
          <w:p>
            <w:r>
              <w:rPr>
                <w:b w:val="0"/>
                <w:i w:val="0"/>
                <w:color w:val="33403B"/>
                <w:sz w:val="18"/>
              </w:rPr>
              <w:t>Accès au SI consentis</w:t>
            </w:r>
          </w:p>
        </w:tc>
        <w:tc>
          <w:tcPr>
            <w:tcW w:type="dxa" w:w="6560"/>
            <w:tcBorders>
              <w:bottom w:val="single" w:sz="4" w:space="0" w:color="DFE7E3"/>
            </w:tcBorders>
          </w:tcPr>
          <w:p>
            <w:r>
              <w:rPr>
                <w:b w:val="0"/>
                <w:i w:val="0"/>
                <w:color w:val="33403B"/>
                <w:sz w:val="18"/>
              </w:rPr>
              <w:t>Comptes nominatifs en lecture seule sur le SIEM et l'annuaire, extraction des configurations fournie par la DSI, accès aux contrats prestataires via le service juridique.</w:t>
            </w:r>
          </w:p>
        </w:tc>
      </w:tr>
      <w:tr>
        <w:tc>
          <w:tcPr>
            <w:tcW w:type="dxa" w:w="2852"/>
            <w:tcBorders>
              <w:bottom w:val="single" w:sz="4" w:space="0" w:color="DFE7E3"/>
            </w:tcBorders>
          </w:tcPr>
          <w:p>
            <w:r>
              <w:rPr>
                <w:b w:val="0"/>
                <w:i w:val="0"/>
                <w:color w:val="33403B"/>
                <w:sz w:val="18"/>
              </w:rPr>
              <w:t>Date de réunion de lancement</w:t>
            </w:r>
          </w:p>
        </w:tc>
        <w:tc>
          <w:tcPr>
            <w:tcW w:type="dxa" w:w="6560"/>
            <w:tcBorders>
              <w:bottom w:val="single" w:sz="4" w:space="0" w:color="DFE7E3"/>
            </w:tcBorders>
          </w:tcPr>
          <w:p>
            <w:r>
              <w:rPr>
                <w:b w:val="0"/>
                <w:i w:val="0"/>
                <w:color w:val="33403B"/>
                <w:sz w:val="18"/>
              </w:rPr>
              <w:t>2026-05-11</w:t>
            </w:r>
          </w:p>
        </w:tc>
      </w:tr>
      <w:tr>
        <w:tc>
          <w:tcPr>
            <w:tcW w:type="dxa" w:w="2852"/>
            <w:tcBorders>
              <w:bottom w:val="single" w:sz="4" w:space="0" w:color="DFE7E3"/>
            </w:tcBorders>
          </w:tcPr>
          <w:p>
            <w:r>
              <w:rPr>
                <w:b w:val="0"/>
                <w:i w:val="0"/>
                <w:color w:val="33403B"/>
                <w:sz w:val="18"/>
              </w:rPr>
              <w:t>Gouvernance de la mission</w:t>
            </w:r>
          </w:p>
        </w:tc>
        <w:tc>
          <w:tcPr>
            <w:tcW w:type="dxa" w:w="6560"/>
            <w:tcBorders>
              <w:bottom w:val="single" w:sz="4" w:space="0" w:color="DFE7E3"/>
            </w:tcBorders>
          </w:tcPr>
          <w:p>
            <w:r>
              <w:rPr>
                <w:b w:val="0"/>
                <w:i w:val="0"/>
                <w:color w:val="33403B"/>
                <w:sz w:val="18"/>
              </w:rPr>
              <w:t>Comité de suivi mensuel présidé par le Directeur des Risques, remontée immédiate au Directoire de tout écart susceptible d'entraîner un constat ACPR.</w:t>
            </w:r>
          </w:p>
        </w:tc>
      </w:tr>
      <w:tr>
        <w:tc>
          <w:tcPr>
            <w:tcW w:type="dxa" w:w="2852"/>
            <w:tcBorders>
              <w:bottom w:val="single" w:sz="4" w:space="0" w:color="DFE7E3"/>
            </w:tcBorders>
          </w:tcPr>
          <w:p>
            <w:r>
              <w:rPr>
                <w:b w:val="0"/>
                <w:i w:val="0"/>
                <w:color w:val="33403B"/>
                <w:sz w:val="18"/>
              </w:rPr>
              <w:t>Livrables contractuels</w:t>
            </w:r>
          </w:p>
        </w:tc>
        <w:tc>
          <w:tcPr>
            <w:tcW w:type="dxa" w:w="6560"/>
            <w:tcBorders>
              <w:bottom w:val="single" w:sz="4" w:space="0" w:color="DFE7E3"/>
            </w:tcBorders>
          </w:tcPr>
          <w:p>
            <w:r>
              <w:rPr>
                <w:b w:val="0"/>
                <w:i w:val="0"/>
                <w:color w:val="33403B"/>
                <w:sz w:val="18"/>
              </w:rPr>
              <w:t>Rapport d'audit ISO 27001 avec écarts et preuves · Cartographie DORA des prestataires critiques · Plan de remédiation priorisé et daté · AIPD du scoring de crédit · Restitution au comité des risques</w:t>
            </w:r>
          </w:p>
        </w:tc>
      </w:tr>
      <w:tr>
        <w:tc>
          <w:tcPr>
            <w:tcW w:type="dxa" w:w="2852"/>
            <w:tcBorders>
              <w:bottom w:val="single" w:sz="4" w:space="0" w:color="DFE7E3"/>
            </w:tcBorders>
          </w:tcPr>
          <w:p>
            <w:r>
              <w:rPr>
                <w:b w:val="0"/>
                <w:i w:val="0"/>
                <w:color w:val="33403B"/>
                <w:sz w:val="18"/>
              </w:rPr>
              <w:t>Participants au lancement</w:t>
            </w:r>
          </w:p>
        </w:tc>
        <w:tc>
          <w:tcPr>
            <w:tcW w:type="dxa" w:w="6560"/>
            <w:tcBorders>
              <w:bottom w:val="single" w:sz="4" w:space="0" w:color="DFE7E3"/>
            </w:tcBorders>
          </w:tcPr>
          <w:p>
            <w:r>
              <w:rPr>
                <w:b w:val="0"/>
                <w:i w:val="0"/>
                <w:color w:val="33403B"/>
                <w:sz w:val="18"/>
              </w:rPr>
              <w:t>Directeur des Risques (sponsor) · RSSI · DSI · DPO · Directeur des Paiements · Responsable Conformité</w:t>
            </w:r>
          </w:p>
        </w:tc>
      </w:tr>
    </w:tbl>
    <w:p/>
    <w:p>
      <w:pPr>
        <w:spacing w:before="200" w:after="40"/>
      </w:pPr>
      <w:r>
        <w:rPr>
          <w:b/>
          <w:i w:val="0"/>
          <w:color w:val="0C2317"/>
          <w:sz w:val="21"/>
        </w:rPr>
        <w:t>2.1 Entretiens conduits</w:t>
      </w:r>
    </w:p>
    <w:tbl>
      <w:tblPr>
        <w:tblW w:type="auto" w:w="0"/>
        <w:jc w:val="left"/>
        <w:tblLayout w:type="fixed"/>
        <w:tblLook w:firstColumn="1" w:firstRow="1" w:lastColumn="0" w:lastRow="0" w:noHBand="0" w:noVBand="1" w:val="04A0"/>
      </w:tblPr>
      <w:tblGrid>
        <w:gridCol w:w="2353"/>
        <w:gridCol w:w="1629"/>
        <w:gridCol w:w="5430"/>
      </w:tblGrid>
      <w:tr>
        <w:tc>
          <w:tcPr>
            <w:tcW w:type="dxa" w:w="2353"/>
            <w:shd w:val="clear" w:color="auto" w:fill="F2FBF7"/>
            <w:tcBorders>
              <w:bottom w:val="single" w:sz="6" w:space="0" w:color="C9DBD3"/>
            </w:tcBorders>
          </w:tcPr>
          <w:p>
            <w:r>
              <w:rPr>
                <w:b/>
                <w:i w:val="0"/>
                <w:color w:val="0C2317"/>
                <w:sz w:val="16"/>
              </w:rPr>
              <w:t>Rôle rencontré</w:t>
            </w:r>
          </w:p>
        </w:tc>
        <w:tc>
          <w:tcPr>
            <w:tcW w:type="dxa" w:w="1629"/>
            <w:shd w:val="clear" w:color="auto" w:fill="F2FBF7"/>
            <w:tcBorders>
              <w:bottom w:val="single" w:sz="6" w:space="0" w:color="C9DBD3"/>
            </w:tcBorders>
          </w:tcPr>
          <w:p>
            <w:r>
              <w:rPr>
                <w:b/>
                <w:i w:val="0"/>
                <w:color w:val="0C2317"/>
                <w:sz w:val="16"/>
              </w:rPr>
              <w:t>Date</w:t>
            </w:r>
          </w:p>
        </w:tc>
        <w:tc>
          <w:tcPr>
            <w:tcW w:type="dxa" w:w="5430"/>
            <w:shd w:val="clear" w:color="auto" w:fill="F2FBF7"/>
            <w:tcBorders>
              <w:bottom w:val="single" w:sz="6" w:space="0" w:color="C9DBD3"/>
            </w:tcBorders>
          </w:tcPr>
          <w:p>
            <w:r>
              <w:rPr>
                <w:b/>
                <w:i w:val="0"/>
                <w:color w:val="0C2317"/>
                <w:sz w:val="16"/>
              </w:rPr>
              <w:t>Ce qui a été déclaré</w:t>
            </w:r>
          </w:p>
        </w:tc>
      </w:tr>
      <w:tr>
        <w:tc>
          <w:tcPr>
            <w:tcW w:type="dxa" w:w="2353"/>
            <w:tcBorders>
              <w:bottom w:val="single" w:sz="4" w:space="0" w:color="DFE7E3"/>
            </w:tcBorders>
          </w:tcPr>
          <w:p>
            <w:r>
              <w:rPr>
                <w:b w:val="0"/>
                <w:i w:val="0"/>
                <w:color w:val="33403B"/>
                <w:sz w:val="18"/>
              </w:rPr>
              <w:t>Directeur des Risques</w:t>
            </w:r>
          </w:p>
        </w:tc>
        <w:tc>
          <w:tcPr>
            <w:tcW w:type="dxa" w:w="1629"/>
            <w:tcBorders>
              <w:bottom w:val="single" w:sz="4" w:space="0" w:color="DFE7E3"/>
            </w:tcBorders>
          </w:tcPr>
          <w:p>
            <w:r>
              <w:rPr>
                <w:b w:val="0"/>
                <w:i w:val="0"/>
                <w:color w:val="33403B"/>
                <w:sz w:val="18"/>
              </w:rPr>
              <w:t>2026-05-11</w:t>
            </w:r>
          </w:p>
        </w:tc>
        <w:tc>
          <w:tcPr>
            <w:tcW w:type="dxa" w:w="5430"/>
            <w:tcBorders>
              <w:bottom w:val="single" w:sz="4" w:space="0" w:color="DFE7E3"/>
            </w:tcBorders>
          </w:tcPr>
          <w:p>
            <w:r>
              <w:rPr>
                <w:b w:val="0"/>
                <w:i w:val="0"/>
                <w:color w:val="33403B"/>
                <w:sz w:val="18"/>
              </w:rPr>
              <w:t>Objectif : aucun constat majeur à la revue ACPR de 2027. Priorité donnée à ce qui est opposable devant le régulateur.</w:t>
            </w:r>
          </w:p>
        </w:tc>
      </w:tr>
      <w:tr>
        <w:tc>
          <w:tcPr>
            <w:tcW w:type="dxa" w:w="2353"/>
            <w:tcBorders>
              <w:bottom w:val="single" w:sz="4" w:space="0" w:color="DFE7E3"/>
            </w:tcBorders>
          </w:tcPr>
          <w:p>
            <w:r>
              <w:rPr>
                <w:b w:val="0"/>
                <w:i w:val="0"/>
                <w:color w:val="33403B"/>
                <w:sz w:val="18"/>
              </w:rPr>
              <w:t>RSSI</w:t>
            </w:r>
          </w:p>
        </w:tc>
        <w:tc>
          <w:tcPr>
            <w:tcW w:type="dxa" w:w="1629"/>
            <w:tcBorders>
              <w:bottom w:val="single" w:sz="4" w:space="0" w:color="DFE7E3"/>
            </w:tcBorders>
          </w:tcPr>
          <w:p>
            <w:r>
              <w:rPr>
                <w:b w:val="0"/>
                <w:i w:val="0"/>
                <w:color w:val="33403B"/>
                <w:sz w:val="18"/>
              </w:rPr>
              <w:t>2026-05-18</w:t>
            </w:r>
          </w:p>
        </w:tc>
        <w:tc>
          <w:tcPr>
            <w:tcW w:type="dxa" w:w="5430"/>
            <w:tcBorders>
              <w:bottom w:val="single" w:sz="4" w:space="0" w:color="DFE7E3"/>
            </w:tcBorders>
          </w:tcPr>
          <w:p>
            <w:r>
              <w:rPr>
                <w:b w:val="0"/>
                <w:i w:val="0"/>
                <w:color w:val="33403B"/>
                <w:sz w:val="18"/>
              </w:rPr>
              <w:t>Signale lui-même la faiblesse du processus de départ et l'écart d'inventaire. SIEM opérationnel mais aveugle sur les journaux applicatifs du core banking.</w:t>
            </w:r>
          </w:p>
        </w:tc>
      </w:tr>
      <w:tr>
        <w:tc>
          <w:tcPr>
            <w:tcW w:type="dxa" w:w="2353"/>
            <w:tcBorders>
              <w:bottom w:val="single" w:sz="4" w:space="0" w:color="DFE7E3"/>
            </w:tcBorders>
          </w:tcPr>
          <w:p>
            <w:r>
              <w:rPr>
                <w:b w:val="0"/>
                <w:i w:val="0"/>
                <w:color w:val="33403B"/>
                <w:sz w:val="18"/>
              </w:rPr>
              <w:t>Directeur des Paiements</w:t>
            </w:r>
          </w:p>
        </w:tc>
        <w:tc>
          <w:tcPr>
            <w:tcW w:type="dxa" w:w="1629"/>
            <w:tcBorders>
              <w:bottom w:val="single" w:sz="4" w:space="0" w:color="DFE7E3"/>
            </w:tcBorders>
          </w:tcPr>
          <w:p>
            <w:r>
              <w:rPr>
                <w:b w:val="0"/>
                <w:i w:val="0"/>
                <w:color w:val="33403B"/>
                <w:sz w:val="18"/>
              </w:rPr>
              <w:t>2026-05-26</w:t>
            </w:r>
          </w:p>
        </w:tc>
        <w:tc>
          <w:tcPr>
            <w:tcW w:type="dxa" w:w="5430"/>
            <w:tcBorders>
              <w:bottom w:val="single" w:sz="4" w:space="0" w:color="DFE7E3"/>
            </w:tcBorders>
          </w:tcPr>
          <w:p>
            <w:r>
              <w:rPr>
                <w:b w:val="0"/>
                <w:i w:val="0"/>
                <w:color w:val="33403B"/>
                <w:sz w:val="18"/>
              </w:rPr>
              <w:t>RTO de 2 h imposé par les règles STET, pas par un arbitrage interne. Bascule testée trimestriellement avec procès-verbal.</w:t>
            </w:r>
          </w:p>
        </w:tc>
      </w:tr>
      <w:tr>
        <w:tc>
          <w:tcPr>
            <w:tcW w:type="dxa" w:w="2353"/>
            <w:tcBorders>
              <w:bottom w:val="single" w:sz="4" w:space="0" w:color="DFE7E3"/>
            </w:tcBorders>
          </w:tcPr>
          <w:p>
            <w:r>
              <w:rPr>
                <w:b w:val="0"/>
                <w:i w:val="0"/>
                <w:color w:val="33403B"/>
                <w:sz w:val="18"/>
              </w:rPr>
              <w:t>DPO</w:t>
            </w:r>
          </w:p>
        </w:tc>
        <w:tc>
          <w:tcPr>
            <w:tcW w:type="dxa" w:w="1629"/>
            <w:tcBorders>
              <w:bottom w:val="single" w:sz="4" w:space="0" w:color="DFE7E3"/>
            </w:tcBorders>
          </w:tcPr>
          <w:p>
            <w:r>
              <w:rPr>
                <w:b w:val="0"/>
                <w:i w:val="0"/>
                <w:color w:val="33403B"/>
                <w:sz w:val="18"/>
              </w:rPr>
              <w:t>2026-06-02</w:t>
            </w:r>
          </w:p>
        </w:tc>
        <w:tc>
          <w:tcPr>
            <w:tcW w:type="dxa" w:w="5430"/>
            <w:tcBorders>
              <w:bottom w:val="single" w:sz="4" w:space="0" w:color="DFE7E3"/>
            </w:tcBorders>
          </w:tcPr>
          <w:p>
            <w:r>
              <w:rPr>
                <w:b w:val="0"/>
                <w:i w:val="0"/>
                <w:color w:val="33403B"/>
                <w:sz w:val="18"/>
              </w:rPr>
              <w:t>Avis réservé sur le scoring de crédit ; consultation CNIL déposée, mise en production suspendue jusqu'à réponse.</w:t>
            </w:r>
          </w:p>
        </w:tc>
      </w:tr>
      <w:tr>
        <w:tc>
          <w:tcPr>
            <w:tcW w:type="dxa" w:w="2353"/>
            <w:tcBorders>
              <w:bottom w:val="single" w:sz="4" w:space="0" w:color="DFE7E3"/>
            </w:tcBorders>
          </w:tcPr>
          <w:p>
            <w:r>
              <w:rPr>
                <w:b w:val="0"/>
                <w:i w:val="0"/>
                <w:color w:val="33403B"/>
                <w:sz w:val="18"/>
              </w:rPr>
              <w:t>Responsable Conformité</w:t>
            </w:r>
          </w:p>
        </w:tc>
        <w:tc>
          <w:tcPr>
            <w:tcW w:type="dxa" w:w="1629"/>
            <w:tcBorders>
              <w:bottom w:val="single" w:sz="4" w:space="0" w:color="DFE7E3"/>
            </w:tcBorders>
          </w:tcPr>
          <w:p>
            <w:r>
              <w:rPr>
                <w:b w:val="0"/>
                <w:i w:val="0"/>
                <w:color w:val="33403B"/>
                <w:sz w:val="18"/>
              </w:rPr>
              <w:t>2026-06-09</w:t>
            </w:r>
          </w:p>
        </w:tc>
        <w:tc>
          <w:tcPr>
            <w:tcW w:type="dxa" w:w="5430"/>
            <w:tcBorders>
              <w:bottom w:val="single" w:sz="4" w:space="0" w:color="DFE7E3"/>
            </w:tcBorders>
          </w:tcPr>
          <w:p>
            <w:r>
              <w:rPr>
                <w:b w:val="0"/>
                <w:i w:val="0"/>
                <w:color w:val="33403B"/>
                <w:sz w:val="18"/>
              </w:rPr>
              <w:t>Registre d'information DORA renseigné pour 1 prestataire critique sur 4. Stratégies de sortie non documentées.</w:t>
            </w:r>
          </w:p>
        </w:tc>
      </w:tr>
    </w:tbl>
    <w:p/>
    <w:p>
      <w:pPr>
        <w:spacing w:before="400" w:after="160"/>
        <w:pBdr>
          <w:bottom w:val="single" w:sz="16" w:space="4" w:color="2EE6A0"/>
        </w:pBdr>
      </w:pPr>
      <w:r>
        <w:rPr>
          <w:b/>
          <w:i w:val="0"/>
          <w:color w:val="2EE6A0"/>
          <w:sz w:val="28"/>
        </w:rPr>
        <w:t xml:space="preserve">3. </w:t>
      </w:r>
      <w:r>
        <w:rPr>
          <w:b/>
          <w:i w:val="0"/>
          <w:color w:val="0C2317"/>
          <w:sz w:val="28"/>
        </w:rPr>
        <w:t>Patrimoine évalué</w:t>
      </w:r>
    </w:p>
    <w:p>
      <w:pPr>
        <w:spacing w:before="200" w:after="40"/>
      </w:pPr>
      <w:r>
        <w:rPr>
          <w:b/>
          <w:i w:val="0"/>
          <w:color w:val="0C2317"/>
          <w:sz w:val="21"/>
        </w:rPr>
        <w:t>3.1 Valeurs métier</w:t>
      </w:r>
    </w:p>
    <w:tbl>
      <w:tblPr>
        <w:tblW w:type="auto" w:w="0"/>
        <w:jc w:val="left"/>
        <w:tblLayout w:type="fixed"/>
        <w:tblLook w:firstColumn="1" w:firstRow="1" w:lastColumn="0" w:lastRow="0" w:noHBand="0" w:noVBand="1" w:val="04A0"/>
      </w:tblPr>
      <w:tblGrid>
        <w:gridCol w:w="998"/>
        <w:gridCol w:w="2282"/>
        <w:gridCol w:w="4278"/>
        <w:gridCol w:w="1854"/>
      </w:tblGrid>
      <w:tr>
        <w:tc>
          <w:tcPr>
            <w:tcW w:type="dxa" w:w="998"/>
            <w:shd w:val="clear" w:color="auto" w:fill="F2FBF7"/>
            <w:tcBorders>
              <w:bottom w:val="single" w:sz="6" w:space="0" w:color="C9DBD3"/>
            </w:tcBorders>
          </w:tcPr>
          <w:p>
            <w:r>
              <w:rPr>
                <w:b/>
                <w:i w:val="0"/>
                <w:color w:val="0C2317"/>
                <w:sz w:val="16"/>
              </w:rPr>
              <w:t>ID</w:t>
            </w:r>
          </w:p>
        </w:tc>
        <w:tc>
          <w:tcPr>
            <w:tcW w:type="dxa" w:w="2282"/>
            <w:shd w:val="clear" w:color="auto" w:fill="F2FBF7"/>
            <w:tcBorders>
              <w:bottom w:val="single" w:sz="6" w:space="0" w:color="C9DBD3"/>
            </w:tcBorders>
          </w:tcPr>
          <w:p>
            <w:r>
              <w:rPr>
                <w:b/>
                <w:i w:val="0"/>
                <w:color w:val="0C2317"/>
                <w:sz w:val="16"/>
              </w:rPr>
              <w:t>Valeur métier</w:t>
            </w:r>
          </w:p>
        </w:tc>
        <w:tc>
          <w:tcPr>
            <w:tcW w:type="dxa" w:w="4278"/>
            <w:shd w:val="clear" w:color="auto" w:fill="F2FBF7"/>
            <w:tcBorders>
              <w:bottom w:val="single" w:sz="6" w:space="0" w:color="C9DBD3"/>
            </w:tcBorders>
          </w:tcPr>
          <w:p>
            <w:r>
              <w:rPr>
                <w:b/>
                <w:i w:val="0"/>
                <w:color w:val="0C2317"/>
                <w:sz w:val="16"/>
              </w:rPr>
              <w:t>Description</w:t>
            </w:r>
          </w:p>
        </w:tc>
        <w:tc>
          <w:tcPr>
            <w:tcW w:type="dxa" w:w="1854"/>
            <w:shd w:val="clear" w:color="auto" w:fill="F2FBF7"/>
            <w:tcBorders>
              <w:bottom w:val="single" w:sz="6" w:space="0" w:color="C9DBD3"/>
            </w:tcBorders>
          </w:tcPr>
          <w:p>
            <w:r>
              <w:rPr>
                <w:b/>
                <w:i w:val="0"/>
                <w:color w:val="0C2317"/>
                <w:sz w:val="16"/>
              </w:rPr>
              <w:t>Données personnelles</w:t>
            </w:r>
          </w:p>
        </w:tc>
      </w:tr>
      <w:tr>
        <w:tc>
          <w:tcPr>
            <w:tcW w:type="dxa" w:w="998"/>
            <w:tcBorders>
              <w:bottom w:val="single" w:sz="4" w:space="0" w:color="DFE7E3"/>
            </w:tcBorders>
          </w:tcPr>
          <w:p>
            <w:r>
              <w:rPr>
                <w:b w:val="0"/>
                <w:i w:val="0"/>
                <w:color w:val="33403B"/>
                <w:sz w:val="18"/>
              </w:rPr>
              <w:t>VM-01</w:t>
            </w:r>
          </w:p>
        </w:tc>
        <w:tc>
          <w:tcPr>
            <w:tcW w:type="dxa" w:w="2282"/>
            <w:tcBorders>
              <w:bottom w:val="single" w:sz="4" w:space="0" w:color="DFE7E3"/>
            </w:tcBorders>
          </w:tcPr>
          <w:p>
            <w:r>
              <w:rPr>
                <w:b w:val="0"/>
                <w:i w:val="0"/>
                <w:color w:val="33403B"/>
                <w:sz w:val="18"/>
              </w:rPr>
              <w:t>Comptes et soldes clients</w:t>
            </w:r>
          </w:p>
        </w:tc>
        <w:tc>
          <w:tcPr>
            <w:tcW w:type="dxa" w:w="4278"/>
            <w:tcBorders>
              <w:bottom w:val="single" w:sz="4" w:space="0" w:color="DFE7E3"/>
            </w:tcBorders>
          </w:tcPr>
          <w:p>
            <w:r>
              <w:rPr>
                <w:b w:val="0"/>
                <w:i w:val="0"/>
                <w:color w:val="33403B"/>
                <w:sz w:val="18"/>
              </w:rPr>
              <w:t>Registre des positions clients, cœur du système bancaire.</w:t>
            </w:r>
          </w:p>
        </w:tc>
        <w:tc>
          <w:tcPr>
            <w:tcW w:type="dxa" w:w="1854"/>
            <w:tcBorders>
              <w:bottom w:val="single" w:sz="4" w:space="0" w:color="DFE7E3"/>
            </w:tcBorders>
          </w:tcPr>
          <w:p>
            <w:r>
              <w:rPr>
                <w:b w:val="0"/>
                <w:i w:val="0"/>
                <w:color w:val="33403B"/>
                <w:sz w:val="18"/>
              </w:rPr>
              <w:t>Oui</w:t>
            </w:r>
          </w:p>
        </w:tc>
      </w:tr>
      <w:tr>
        <w:tc>
          <w:tcPr>
            <w:tcW w:type="dxa" w:w="998"/>
            <w:tcBorders>
              <w:bottom w:val="single" w:sz="4" w:space="0" w:color="DFE7E3"/>
            </w:tcBorders>
          </w:tcPr>
          <w:p>
            <w:r>
              <w:rPr>
                <w:b w:val="0"/>
                <w:i w:val="0"/>
                <w:color w:val="33403B"/>
                <w:sz w:val="18"/>
              </w:rPr>
              <w:t>VM-02</w:t>
            </w:r>
          </w:p>
        </w:tc>
        <w:tc>
          <w:tcPr>
            <w:tcW w:type="dxa" w:w="2282"/>
            <w:tcBorders>
              <w:bottom w:val="single" w:sz="4" w:space="0" w:color="DFE7E3"/>
            </w:tcBorders>
          </w:tcPr>
          <w:p>
            <w:r>
              <w:rPr>
                <w:b w:val="0"/>
                <w:i w:val="0"/>
                <w:color w:val="33403B"/>
                <w:sz w:val="18"/>
              </w:rPr>
              <w:t>Service de paiement instantané (SCT Inst)</w:t>
            </w:r>
          </w:p>
        </w:tc>
        <w:tc>
          <w:tcPr>
            <w:tcW w:type="dxa" w:w="4278"/>
            <w:tcBorders>
              <w:bottom w:val="single" w:sz="4" w:space="0" w:color="DFE7E3"/>
            </w:tcBorders>
          </w:tcPr>
          <w:p>
            <w:r>
              <w:rPr>
                <w:b w:val="0"/>
                <w:i w:val="0"/>
                <w:color w:val="33403B"/>
                <w:sz w:val="18"/>
              </w:rPr>
              <w:t>Fonction critique au sens DORA — indisponibilité immédiatement visible du client.</w:t>
            </w:r>
          </w:p>
        </w:tc>
        <w:tc>
          <w:tcPr>
            <w:tcW w:type="dxa" w:w="1854"/>
            <w:tcBorders>
              <w:bottom w:val="single" w:sz="4" w:space="0" w:color="DFE7E3"/>
            </w:tcBorders>
          </w:tcPr>
          <w:p>
            <w:r>
              <w:rPr>
                <w:b w:val="0"/>
                <w:i w:val="0"/>
                <w:color w:val="33403B"/>
                <w:sz w:val="18"/>
              </w:rPr>
              <w:t>Oui</w:t>
            </w:r>
          </w:p>
        </w:tc>
      </w:tr>
      <w:tr>
        <w:tc>
          <w:tcPr>
            <w:tcW w:type="dxa" w:w="998"/>
            <w:tcBorders>
              <w:bottom w:val="single" w:sz="4" w:space="0" w:color="DFE7E3"/>
            </w:tcBorders>
          </w:tcPr>
          <w:p>
            <w:r>
              <w:rPr>
                <w:b w:val="0"/>
                <w:i w:val="0"/>
                <w:color w:val="33403B"/>
                <w:sz w:val="18"/>
              </w:rPr>
              <w:t>VM-03</w:t>
            </w:r>
          </w:p>
        </w:tc>
        <w:tc>
          <w:tcPr>
            <w:tcW w:type="dxa" w:w="2282"/>
            <w:tcBorders>
              <w:bottom w:val="single" w:sz="4" w:space="0" w:color="DFE7E3"/>
            </w:tcBorders>
          </w:tcPr>
          <w:p>
            <w:r>
              <w:rPr>
                <w:b w:val="0"/>
                <w:i w:val="0"/>
                <w:color w:val="33403B"/>
                <w:sz w:val="18"/>
              </w:rPr>
              <w:t>Dossiers de crédit et scoring</w:t>
            </w:r>
          </w:p>
        </w:tc>
        <w:tc>
          <w:tcPr>
            <w:tcW w:type="dxa" w:w="4278"/>
            <w:tcBorders>
              <w:bottom w:val="single" w:sz="4" w:space="0" w:color="DFE7E3"/>
            </w:tcBorders>
          </w:tcPr>
          <w:p>
            <w:r>
              <w:rPr>
                <w:b w:val="0"/>
                <w:i w:val="0"/>
                <w:color w:val="33403B"/>
                <w:sz w:val="18"/>
              </w:rPr>
              <w:t>Décisions automatisées avec effet juridique (RGPD Art. 22).</w:t>
            </w:r>
          </w:p>
        </w:tc>
        <w:tc>
          <w:tcPr>
            <w:tcW w:type="dxa" w:w="1854"/>
            <w:tcBorders>
              <w:bottom w:val="single" w:sz="4" w:space="0" w:color="DFE7E3"/>
            </w:tcBorders>
          </w:tcPr>
          <w:p>
            <w:r>
              <w:rPr>
                <w:b w:val="0"/>
                <w:i w:val="0"/>
                <w:color w:val="33403B"/>
                <w:sz w:val="18"/>
              </w:rPr>
              <w:t>Oui</w:t>
            </w:r>
          </w:p>
        </w:tc>
      </w:tr>
      <w:tr>
        <w:tc>
          <w:tcPr>
            <w:tcW w:type="dxa" w:w="998"/>
            <w:tcBorders>
              <w:bottom w:val="single" w:sz="4" w:space="0" w:color="DFE7E3"/>
            </w:tcBorders>
          </w:tcPr>
          <w:p>
            <w:r>
              <w:rPr>
                <w:b w:val="0"/>
                <w:i w:val="0"/>
                <w:color w:val="33403B"/>
                <w:sz w:val="18"/>
              </w:rPr>
              <w:t>VM-04</w:t>
            </w:r>
          </w:p>
        </w:tc>
        <w:tc>
          <w:tcPr>
            <w:tcW w:type="dxa" w:w="2282"/>
            <w:tcBorders>
              <w:bottom w:val="single" w:sz="4" w:space="0" w:color="DFE7E3"/>
            </w:tcBorders>
          </w:tcPr>
          <w:p>
            <w:r>
              <w:rPr>
                <w:b w:val="0"/>
                <w:i w:val="0"/>
                <w:color w:val="33403B"/>
                <w:sz w:val="18"/>
              </w:rPr>
              <w:t>Piste d'audit réglementaire</w:t>
            </w:r>
          </w:p>
        </w:tc>
        <w:tc>
          <w:tcPr>
            <w:tcW w:type="dxa" w:w="4278"/>
            <w:tcBorders>
              <w:bottom w:val="single" w:sz="4" w:space="0" w:color="DFE7E3"/>
            </w:tcBorders>
          </w:tcPr>
          <w:p>
            <w:r>
              <w:rPr>
                <w:b w:val="0"/>
                <w:i w:val="0"/>
                <w:color w:val="33403B"/>
                <w:sz w:val="18"/>
              </w:rPr>
              <w:t>Traçabilité exigée par l'ACPR, intégrité opposable.</w:t>
            </w:r>
          </w:p>
        </w:tc>
        <w:tc>
          <w:tcPr>
            <w:tcW w:type="dxa" w:w="1854"/>
            <w:tcBorders>
              <w:bottom w:val="single" w:sz="4" w:space="0" w:color="DFE7E3"/>
            </w:tcBorders>
          </w:tcPr>
          <w:p>
            <w:r>
              <w:rPr>
                <w:b w:val="0"/>
                <w:i w:val="0"/>
                <w:color w:val="33403B"/>
                <w:sz w:val="18"/>
              </w:rPr>
              <w:t>Oui</w:t>
            </w:r>
          </w:p>
        </w:tc>
      </w:tr>
    </w:tbl>
    <w:p/>
    <w:p>
      <w:pPr>
        <w:spacing w:before="200" w:after="40"/>
      </w:pPr>
      <w:r>
        <w:rPr>
          <w:b/>
          <w:i w:val="0"/>
          <w:color w:val="0C2317"/>
          <w:sz w:val="21"/>
        </w:rPr>
        <w:t>3.2 Biens supports</w:t>
      </w:r>
    </w:p>
    <w:tbl>
      <w:tblPr>
        <w:tblW w:type="auto" w:w="0"/>
        <w:jc w:val="left"/>
        <w:tblLayout w:type="fixed"/>
        <w:tblLook w:firstColumn="1" w:firstRow="1" w:lastColumn="0" w:lastRow="0" w:noHBand="0" w:noVBand="1" w:val="04A0"/>
      </w:tblPr>
      <w:tblGrid>
        <w:gridCol w:w="903"/>
        <w:gridCol w:w="2063"/>
        <w:gridCol w:w="1289"/>
        <w:gridCol w:w="3352"/>
        <w:gridCol w:w="1805"/>
      </w:tblGrid>
      <w:tr>
        <w:tc>
          <w:tcPr>
            <w:tcW w:type="dxa" w:w="903"/>
            <w:shd w:val="clear" w:color="auto" w:fill="F2FBF7"/>
            <w:tcBorders>
              <w:bottom w:val="single" w:sz="6" w:space="0" w:color="C9DBD3"/>
            </w:tcBorders>
          </w:tcPr>
          <w:p>
            <w:r>
              <w:rPr>
                <w:b/>
                <w:i w:val="0"/>
                <w:color w:val="0C2317"/>
                <w:sz w:val="16"/>
              </w:rPr>
              <w:t>ID</w:t>
            </w:r>
          </w:p>
        </w:tc>
        <w:tc>
          <w:tcPr>
            <w:tcW w:type="dxa" w:w="2063"/>
            <w:shd w:val="clear" w:color="auto" w:fill="F2FBF7"/>
            <w:tcBorders>
              <w:bottom w:val="single" w:sz="6" w:space="0" w:color="C9DBD3"/>
            </w:tcBorders>
          </w:tcPr>
          <w:p>
            <w:r>
              <w:rPr>
                <w:b/>
                <w:i w:val="0"/>
                <w:color w:val="0C2317"/>
                <w:sz w:val="16"/>
              </w:rPr>
              <w:t>Bien support</w:t>
            </w:r>
          </w:p>
        </w:tc>
        <w:tc>
          <w:tcPr>
            <w:tcW w:type="dxa" w:w="1289"/>
            <w:shd w:val="clear" w:color="auto" w:fill="F2FBF7"/>
            <w:tcBorders>
              <w:bottom w:val="single" w:sz="6" w:space="0" w:color="C9DBD3"/>
            </w:tcBorders>
          </w:tcPr>
          <w:p>
            <w:r>
              <w:rPr>
                <w:b/>
                <w:i w:val="0"/>
                <w:color w:val="0C2317"/>
                <w:sz w:val="16"/>
              </w:rPr>
              <w:t>Type</w:t>
            </w:r>
          </w:p>
        </w:tc>
        <w:tc>
          <w:tcPr>
            <w:tcW w:type="dxa" w:w="3352"/>
            <w:shd w:val="clear" w:color="auto" w:fill="F2FBF7"/>
            <w:tcBorders>
              <w:bottom w:val="single" w:sz="6" w:space="0" w:color="C9DBD3"/>
            </w:tcBorders>
          </w:tcPr>
          <w:p>
            <w:r>
              <w:rPr>
                <w:b/>
                <w:i w:val="0"/>
                <w:color w:val="0C2317"/>
                <w:sz w:val="16"/>
              </w:rPr>
              <w:t>Description</w:t>
            </w:r>
          </w:p>
        </w:tc>
        <w:tc>
          <w:tcPr>
            <w:tcW w:type="dxa" w:w="1805"/>
            <w:shd w:val="clear" w:color="auto" w:fill="F2FBF7"/>
            <w:tcBorders>
              <w:bottom w:val="single" w:sz="6" w:space="0" w:color="C9DBD3"/>
            </w:tcBorders>
          </w:tcPr>
          <w:p>
            <w:r>
              <w:rPr>
                <w:b/>
                <w:i w:val="0"/>
                <w:color w:val="0C2317"/>
                <w:sz w:val="16"/>
              </w:rPr>
              <w:t>Responsable</w:t>
            </w:r>
          </w:p>
        </w:tc>
      </w:tr>
      <w:tr>
        <w:tc>
          <w:tcPr>
            <w:tcW w:type="dxa" w:w="903"/>
            <w:tcBorders>
              <w:bottom w:val="single" w:sz="4" w:space="0" w:color="DFE7E3"/>
            </w:tcBorders>
          </w:tcPr>
          <w:p>
            <w:r>
              <w:rPr>
                <w:b w:val="0"/>
                <w:i w:val="0"/>
                <w:color w:val="33403B"/>
                <w:sz w:val="18"/>
              </w:rPr>
              <w:t>BS-01</w:t>
            </w:r>
          </w:p>
        </w:tc>
        <w:tc>
          <w:tcPr>
            <w:tcW w:type="dxa" w:w="2063"/>
            <w:tcBorders>
              <w:bottom w:val="single" w:sz="4" w:space="0" w:color="DFE7E3"/>
            </w:tcBorders>
          </w:tcPr>
          <w:p>
            <w:r>
              <w:rPr>
                <w:b w:val="0"/>
                <w:i w:val="0"/>
                <w:color w:val="33403B"/>
                <w:sz w:val="18"/>
              </w:rPr>
              <w:t>Core banking system (éditeur externe)</w:t>
            </w:r>
          </w:p>
        </w:tc>
        <w:tc>
          <w:tcPr>
            <w:tcW w:type="dxa" w:w="1289"/>
            <w:tcBorders>
              <w:bottom w:val="single" w:sz="4" w:space="0" w:color="DFE7E3"/>
            </w:tcBorders>
          </w:tcPr>
          <w:p>
            <w:r>
              <w:rPr>
                <w:b w:val="0"/>
                <w:i w:val="0"/>
                <w:color w:val="33403B"/>
                <w:sz w:val="18"/>
              </w:rPr>
              <w:t>Logiciel</w:t>
            </w:r>
          </w:p>
        </w:tc>
        <w:tc>
          <w:tcPr>
            <w:tcW w:type="dxa" w:w="3352"/>
            <w:tcBorders>
              <w:bottom w:val="single" w:sz="4" w:space="0" w:color="DFE7E3"/>
            </w:tcBorders>
          </w:tcPr>
          <w:p>
            <w:r>
              <w:rPr>
                <w:b w:val="0"/>
                <w:i w:val="0"/>
                <w:color w:val="33403B"/>
                <w:sz w:val="18"/>
              </w:rPr>
              <w:t>Progiciel hébergé chez l'éditeur, version N-1.</w:t>
            </w:r>
          </w:p>
        </w:tc>
        <w:tc>
          <w:tcPr>
            <w:tcW w:type="dxa" w:w="1805"/>
            <w:tcBorders>
              <w:bottom w:val="single" w:sz="4" w:space="0" w:color="DFE7E3"/>
            </w:tcBorders>
          </w:tcPr>
          <w:p>
            <w:r>
              <w:rPr>
                <w:b w:val="0"/>
                <w:i w:val="0"/>
                <w:color w:val="33403B"/>
                <w:sz w:val="18"/>
              </w:rPr>
              <w:t>DSI</w:t>
            </w:r>
          </w:p>
        </w:tc>
      </w:tr>
      <w:tr>
        <w:tc>
          <w:tcPr>
            <w:tcW w:type="dxa" w:w="903"/>
            <w:tcBorders>
              <w:bottom w:val="single" w:sz="4" w:space="0" w:color="DFE7E3"/>
            </w:tcBorders>
          </w:tcPr>
          <w:p>
            <w:r>
              <w:rPr>
                <w:b w:val="0"/>
                <w:i w:val="0"/>
                <w:color w:val="33403B"/>
                <w:sz w:val="18"/>
              </w:rPr>
              <w:t>BS-02</w:t>
            </w:r>
          </w:p>
        </w:tc>
        <w:tc>
          <w:tcPr>
            <w:tcW w:type="dxa" w:w="2063"/>
            <w:tcBorders>
              <w:bottom w:val="single" w:sz="4" w:space="0" w:color="DFE7E3"/>
            </w:tcBorders>
          </w:tcPr>
          <w:p>
            <w:r>
              <w:rPr>
                <w:b w:val="0"/>
                <w:i w:val="0"/>
                <w:color w:val="33403B"/>
                <w:sz w:val="18"/>
              </w:rPr>
              <w:t>Plateforme de paiement SCT Inst</w:t>
            </w:r>
          </w:p>
        </w:tc>
        <w:tc>
          <w:tcPr>
            <w:tcW w:type="dxa" w:w="1289"/>
            <w:tcBorders>
              <w:bottom w:val="single" w:sz="4" w:space="0" w:color="DFE7E3"/>
            </w:tcBorders>
          </w:tcPr>
          <w:p>
            <w:r>
              <w:rPr>
                <w:b w:val="0"/>
                <w:i w:val="0"/>
                <w:color w:val="33403B"/>
                <w:sz w:val="18"/>
              </w:rPr>
              <w:t>Logiciel</w:t>
            </w:r>
          </w:p>
        </w:tc>
        <w:tc>
          <w:tcPr>
            <w:tcW w:type="dxa" w:w="3352"/>
            <w:tcBorders>
              <w:bottom w:val="single" w:sz="4" w:space="0" w:color="DFE7E3"/>
            </w:tcBorders>
          </w:tcPr>
          <w:p>
            <w:r>
              <w:rPr>
                <w:b w:val="0"/>
                <w:i w:val="0"/>
                <w:color w:val="33403B"/>
                <w:sz w:val="18"/>
              </w:rPr>
              <w:t>Interconnexion STET, disponibilité 24/7 exigée.</w:t>
            </w:r>
          </w:p>
        </w:tc>
        <w:tc>
          <w:tcPr>
            <w:tcW w:type="dxa" w:w="1805"/>
            <w:tcBorders>
              <w:bottom w:val="single" w:sz="4" w:space="0" w:color="DFE7E3"/>
            </w:tcBorders>
          </w:tcPr>
          <w:p>
            <w:r>
              <w:rPr>
                <w:b w:val="0"/>
                <w:i w:val="0"/>
                <w:color w:val="33403B"/>
                <w:sz w:val="18"/>
              </w:rPr>
              <w:t>Directeur des Paiements</w:t>
            </w:r>
          </w:p>
        </w:tc>
      </w:tr>
      <w:tr>
        <w:tc>
          <w:tcPr>
            <w:tcW w:type="dxa" w:w="903"/>
            <w:tcBorders>
              <w:bottom w:val="single" w:sz="4" w:space="0" w:color="DFE7E3"/>
            </w:tcBorders>
          </w:tcPr>
          <w:p>
            <w:r>
              <w:rPr>
                <w:b w:val="0"/>
                <w:i w:val="0"/>
                <w:color w:val="33403B"/>
                <w:sz w:val="18"/>
              </w:rPr>
              <w:t>BS-03</w:t>
            </w:r>
          </w:p>
        </w:tc>
        <w:tc>
          <w:tcPr>
            <w:tcW w:type="dxa" w:w="2063"/>
            <w:tcBorders>
              <w:bottom w:val="single" w:sz="4" w:space="0" w:color="DFE7E3"/>
            </w:tcBorders>
          </w:tcPr>
          <w:p>
            <w:r>
              <w:rPr>
                <w:b w:val="0"/>
                <w:i w:val="0"/>
                <w:color w:val="33403B"/>
                <w:sz w:val="18"/>
              </w:rPr>
              <w:t>Datacenter principal et site de repli</w:t>
            </w:r>
          </w:p>
        </w:tc>
        <w:tc>
          <w:tcPr>
            <w:tcW w:type="dxa" w:w="1289"/>
            <w:tcBorders>
              <w:bottom w:val="single" w:sz="4" w:space="0" w:color="DFE7E3"/>
            </w:tcBorders>
          </w:tcPr>
          <w:p>
            <w:r>
              <w:rPr>
                <w:b w:val="0"/>
                <w:i w:val="0"/>
                <w:color w:val="33403B"/>
                <w:sz w:val="18"/>
              </w:rPr>
              <w:t>Matériel</w:t>
            </w:r>
          </w:p>
        </w:tc>
        <w:tc>
          <w:tcPr>
            <w:tcW w:type="dxa" w:w="3352"/>
            <w:tcBorders>
              <w:bottom w:val="single" w:sz="4" w:space="0" w:color="DFE7E3"/>
            </w:tcBorders>
          </w:tcPr>
          <w:p>
            <w:r>
              <w:rPr>
                <w:b w:val="0"/>
                <w:i w:val="0"/>
                <w:color w:val="33403B"/>
                <w:sz w:val="18"/>
              </w:rPr>
              <w:t>Deux sites actifs/passifs distants de 40 km.</w:t>
            </w:r>
          </w:p>
        </w:tc>
        <w:tc>
          <w:tcPr>
            <w:tcW w:type="dxa" w:w="1805"/>
            <w:tcBorders>
              <w:bottom w:val="single" w:sz="4" w:space="0" w:color="DFE7E3"/>
            </w:tcBorders>
          </w:tcPr>
          <w:p>
            <w:r>
              <w:rPr>
                <w:b w:val="0"/>
                <w:i w:val="0"/>
                <w:color w:val="33403B"/>
                <w:sz w:val="18"/>
              </w:rPr>
              <w:t>Responsable Production</w:t>
            </w:r>
          </w:p>
        </w:tc>
      </w:tr>
      <w:tr>
        <w:tc>
          <w:tcPr>
            <w:tcW w:type="dxa" w:w="903"/>
            <w:tcBorders>
              <w:bottom w:val="single" w:sz="4" w:space="0" w:color="DFE7E3"/>
            </w:tcBorders>
          </w:tcPr>
          <w:p>
            <w:r>
              <w:rPr>
                <w:b w:val="0"/>
                <w:i w:val="0"/>
                <w:color w:val="33403B"/>
                <w:sz w:val="18"/>
              </w:rPr>
              <w:t>BS-04</w:t>
            </w:r>
          </w:p>
        </w:tc>
        <w:tc>
          <w:tcPr>
            <w:tcW w:type="dxa" w:w="2063"/>
            <w:tcBorders>
              <w:bottom w:val="single" w:sz="4" w:space="0" w:color="DFE7E3"/>
            </w:tcBorders>
          </w:tcPr>
          <w:p>
            <w:r>
              <w:rPr>
                <w:b w:val="0"/>
                <w:i w:val="0"/>
                <w:color w:val="33403B"/>
                <w:sz w:val="18"/>
              </w:rPr>
              <w:t>SIEM et collecte de journaux</w:t>
            </w:r>
          </w:p>
        </w:tc>
        <w:tc>
          <w:tcPr>
            <w:tcW w:type="dxa" w:w="1289"/>
            <w:tcBorders>
              <w:bottom w:val="single" w:sz="4" w:space="0" w:color="DFE7E3"/>
            </w:tcBorders>
          </w:tcPr>
          <w:p>
            <w:r>
              <w:rPr>
                <w:b w:val="0"/>
                <w:i w:val="0"/>
                <w:color w:val="33403B"/>
                <w:sz w:val="18"/>
              </w:rPr>
              <w:t>Logiciel</w:t>
            </w:r>
          </w:p>
        </w:tc>
        <w:tc>
          <w:tcPr>
            <w:tcW w:type="dxa" w:w="3352"/>
            <w:tcBorders>
              <w:bottom w:val="single" w:sz="4" w:space="0" w:color="DFE7E3"/>
            </w:tcBorders>
          </w:tcPr>
          <w:p>
            <w:r>
              <w:rPr>
                <w:b w:val="0"/>
                <w:i w:val="0"/>
                <w:color w:val="33403B"/>
                <w:sz w:val="18"/>
              </w:rPr>
              <w:t>Collecte 380 sources, rétention 12 mois.</w:t>
            </w:r>
          </w:p>
        </w:tc>
        <w:tc>
          <w:tcPr>
            <w:tcW w:type="dxa" w:w="1805"/>
            <w:tcBorders>
              <w:bottom w:val="single" w:sz="4" w:space="0" w:color="DFE7E3"/>
            </w:tcBorders>
          </w:tcPr>
          <w:p>
            <w:r>
              <w:rPr>
                <w:b w:val="0"/>
                <w:i w:val="0"/>
                <w:color w:val="33403B"/>
                <w:sz w:val="18"/>
              </w:rPr>
              <w:t>RSSI</w:t>
            </w:r>
          </w:p>
        </w:tc>
      </w:tr>
      <w:tr>
        <w:tc>
          <w:tcPr>
            <w:tcW w:type="dxa" w:w="903"/>
            <w:tcBorders>
              <w:bottom w:val="single" w:sz="4" w:space="0" w:color="DFE7E3"/>
            </w:tcBorders>
          </w:tcPr>
          <w:p>
            <w:r>
              <w:rPr>
                <w:b w:val="0"/>
                <w:i w:val="0"/>
                <w:color w:val="33403B"/>
                <w:sz w:val="18"/>
              </w:rPr>
              <w:t>BS-05</w:t>
            </w:r>
          </w:p>
        </w:tc>
        <w:tc>
          <w:tcPr>
            <w:tcW w:type="dxa" w:w="2063"/>
            <w:tcBorders>
              <w:bottom w:val="single" w:sz="4" w:space="0" w:color="DFE7E3"/>
            </w:tcBorders>
          </w:tcPr>
          <w:p>
            <w:r>
              <w:rPr>
                <w:b w:val="0"/>
                <w:i w:val="0"/>
                <w:color w:val="33403B"/>
                <w:sz w:val="18"/>
              </w:rPr>
              <w:t>Poste de travail et messagerie (M365)</w:t>
            </w:r>
          </w:p>
        </w:tc>
        <w:tc>
          <w:tcPr>
            <w:tcW w:type="dxa" w:w="1289"/>
            <w:tcBorders>
              <w:bottom w:val="single" w:sz="4" w:space="0" w:color="DFE7E3"/>
            </w:tcBorders>
          </w:tcPr>
          <w:p>
            <w:r>
              <w:rPr>
                <w:b w:val="0"/>
                <w:i w:val="0"/>
                <w:color w:val="33403B"/>
                <w:sz w:val="18"/>
              </w:rPr>
              <w:t>Logiciel</w:t>
            </w:r>
          </w:p>
        </w:tc>
        <w:tc>
          <w:tcPr>
            <w:tcW w:type="dxa" w:w="3352"/>
            <w:tcBorders>
              <w:bottom w:val="single" w:sz="4" w:space="0" w:color="DFE7E3"/>
            </w:tcBorders>
          </w:tcPr>
          <w:p>
            <w:r>
              <w:rPr>
                <w:b w:val="0"/>
                <w:i w:val="0"/>
                <w:color w:val="33403B"/>
                <w:sz w:val="18"/>
              </w:rPr>
              <w:t>640 postes, MFA généralisé, EDR déployé.</w:t>
            </w:r>
          </w:p>
        </w:tc>
        <w:tc>
          <w:tcPr>
            <w:tcW w:type="dxa" w:w="1805"/>
            <w:tcBorders>
              <w:bottom w:val="single" w:sz="4" w:space="0" w:color="DFE7E3"/>
            </w:tcBorders>
          </w:tcPr>
          <w:p>
            <w:r>
              <w:rPr>
                <w:b w:val="0"/>
                <w:i w:val="0"/>
                <w:color w:val="33403B"/>
                <w:sz w:val="18"/>
              </w:rPr>
              <w:t>DSI</w:t>
            </w:r>
          </w:p>
        </w:tc>
      </w:tr>
    </w:tbl>
    <w:p/>
    <w:p>
      <w:pPr>
        <w:spacing w:before="400" w:after="160"/>
        <w:pBdr>
          <w:bottom w:val="single" w:sz="16" w:space="4" w:color="2EE6A0"/>
        </w:pBdr>
      </w:pPr>
      <w:r>
        <w:rPr>
          <w:b/>
          <w:i w:val="0"/>
          <w:color w:val="2EE6A0"/>
          <w:sz w:val="28"/>
        </w:rPr>
        <w:t xml:space="preserve">4. </w:t>
      </w:r>
      <w:r>
        <w:rPr>
          <w:b/>
          <w:i w:val="0"/>
          <w:color w:val="0C2317"/>
          <w:sz w:val="28"/>
        </w:rPr>
        <w:t>Protection des données personnelles</w:t>
      </w:r>
    </w:p>
    <w:p>
      <w:pPr>
        <w:spacing w:before="200" w:after="40"/>
      </w:pPr>
      <w:r>
        <w:rPr>
          <w:b/>
          <w:i w:val="0"/>
          <w:color w:val="0C2317"/>
          <w:sz w:val="21"/>
        </w:rPr>
        <w:t>4.1 Registre des traitements (RGPD Art. 30)</w:t>
      </w:r>
    </w:p>
    <w:tbl>
      <w:tblPr>
        <w:tblW w:type="auto" w:w="0"/>
        <w:jc w:val="left"/>
        <w:tblLayout w:type="fixed"/>
        <w:tblLook w:firstColumn="1" w:firstRow="1" w:lastColumn="0" w:lastRow="0" w:noHBand="0" w:noVBand="1" w:val="04A0"/>
      </w:tblPr>
      <w:tblGrid>
        <w:gridCol w:w="890"/>
        <w:gridCol w:w="2035"/>
        <w:gridCol w:w="2544"/>
        <w:gridCol w:w="2289"/>
        <w:gridCol w:w="1653"/>
      </w:tblGrid>
      <w:tr>
        <w:tc>
          <w:tcPr>
            <w:tcW w:type="dxa" w:w="890"/>
            <w:shd w:val="clear" w:color="auto" w:fill="F2FBF7"/>
            <w:tcBorders>
              <w:bottom w:val="single" w:sz="6" w:space="0" w:color="C9DBD3"/>
            </w:tcBorders>
          </w:tcPr>
          <w:p>
            <w:r>
              <w:rPr>
                <w:b/>
                <w:i w:val="0"/>
                <w:color w:val="0C2317"/>
                <w:sz w:val="16"/>
              </w:rPr>
              <w:t>ID</w:t>
            </w:r>
          </w:p>
        </w:tc>
        <w:tc>
          <w:tcPr>
            <w:tcW w:type="dxa" w:w="2035"/>
            <w:shd w:val="clear" w:color="auto" w:fill="F2FBF7"/>
            <w:tcBorders>
              <w:bottom w:val="single" w:sz="6" w:space="0" w:color="C9DBD3"/>
            </w:tcBorders>
          </w:tcPr>
          <w:p>
            <w:r>
              <w:rPr>
                <w:b/>
                <w:i w:val="0"/>
                <w:color w:val="0C2317"/>
                <w:sz w:val="16"/>
              </w:rPr>
              <w:t>Traitement</w:t>
            </w:r>
          </w:p>
        </w:tc>
        <w:tc>
          <w:tcPr>
            <w:tcW w:type="dxa" w:w="2544"/>
            <w:shd w:val="clear" w:color="auto" w:fill="F2FBF7"/>
            <w:tcBorders>
              <w:bottom w:val="single" w:sz="6" w:space="0" w:color="C9DBD3"/>
            </w:tcBorders>
          </w:tcPr>
          <w:p>
            <w:r>
              <w:rPr>
                <w:b/>
                <w:i w:val="0"/>
                <w:color w:val="0C2317"/>
                <w:sz w:val="16"/>
              </w:rPr>
              <w:t>Finalité</w:t>
            </w:r>
          </w:p>
        </w:tc>
        <w:tc>
          <w:tcPr>
            <w:tcW w:type="dxa" w:w="2289"/>
            <w:shd w:val="clear" w:color="auto" w:fill="F2FBF7"/>
            <w:tcBorders>
              <w:bottom w:val="single" w:sz="6" w:space="0" w:color="C9DBD3"/>
            </w:tcBorders>
          </w:tcPr>
          <w:p>
            <w:r>
              <w:rPr>
                <w:b/>
                <w:i w:val="0"/>
                <w:color w:val="0C2317"/>
                <w:sz w:val="16"/>
              </w:rPr>
              <w:t>Catégories de données</w:t>
            </w:r>
          </w:p>
        </w:tc>
        <w:tc>
          <w:tcPr>
            <w:tcW w:type="dxa" w:w="1653"/>
            <w:shd w:val="clear" w:color="auto" w:fill="F2FBF7"/>
            <w:tcBorders>
              <w:bottom w:val="single" w:sz="6" w:space="0" w:color="C9DBD3"/>
            </w:tcBorders>
          </w:tcPr>
          <w:p>
            <w:r>
              <w:rPr>
                <w:b/>
                <w:i w:val="0"/>
                <w:color w:val="0C2317"/>
                <w:sz w:val="16"/>
              </w:rPr>
              <w:t>Conservation</w:t>
            </w:r>
          </w:p>
        </w:tc>
      </w:tr>
      <w:tr>
        <w:tc>
          <w:tcPr>
            <w:tcW w:type="dxa" w:w="890"/>
            <w:tcBorders>
              <w:bottom w:val="single" w:sz="4" w:space="0" w:color="DFE7E3"/>
            </w:tcBorders>
          </w:tcPr>
          <w:p>
            <w:r>
              <w:rPr>
                <w:b w:val="0"/>
                <w:i w:val="0"/>
                <w:color w:val="33403B"/>
                <w:sz w:val="18"/>
              </w:rPr>
              <w:t>RGPD-01</w:t>
            </w:r>
          </w:p>
        </w:tc>
        <w:tc>
          <w:tcPr>
            <w:tcW w:type="dxa" w:w="2035"/>
            <w:tcBorders>
              <w:bottom w:val="single" w:sz="4" w:space="0" w:color="DFE7E3"/>
            </w:tcBorders>
          </w:tcPr>
          <w:p>
            <w:r>
              <w:rPr>
                <w:b w:val="0"/>
                <w:i w:val="0"/>
                <w:color w:val="33403B"/>
                <w:sz w:val="18"/>
              </w:rPr>
              <w:t>Gestion des comptes et opérations</w:t>
            </w:r>
          </w:p>
        </w:tc>
        <w:tc>
          <w:tcPr>
            <w:tcW w:type="dxa" w:w="2544"/>
            <w:tcBorders>
              <w:bottom w:val="single" w:sz="4" w:space="0" w:color="DFE7E3"/>
            </w:tcBorders>
          </w:tcPr>
          <w:p>
            <w:r>
              <w:rPr>
                <w:b w:val="0"/>
                <w:i w:val="0"/>
                <w:color w:val="33403B"/>
                <w:sz w:val="18"/>
              </w:rPr>
              <w:t>Exécution du contrat de services bancaires.</w:t>
            </w:r>
          </w:p>
        </w:tc>
        <w:tc>
          <w:tcPr>
            <w:tcW w:type="dxa" w:w="2289"/>
            <w:tcBorders>
              <w:bottom w:val="single" w:sz="4" w:space="0" w:color="DFE7E3"/>
            </w:tcBorders>
          </w:tcPr>
          <w:p>
            <w:r>
              <w:rPr>
                <w:b w:val="0"/>
                <w:i w:val="0"/>
                <w:color w:val="33403B"/>
                <w:sz w:val="18"/>
              </w:rPr>
              <w:t>Identité, coordonnées, données financières, historiques d'opérations</w:t>
            </w:r>
          </w:p>
        </w:tc>
        <w:tc>
          <w:tcPr>
            <w:tcW w:type="dxa" w:w="1653"/>
            <w:tcBorders>
              <w:bottom w:val="single" w:sz="4" w:space="0" w:color="DFE7E3"/>
            </w:tcBorders>
          </w:tcPr>
          <w:p>
            <w:r>
              <w:rPr>
                <w:b w:val="0"/>
                <w:i w:val="0"/>
                <w:color w:val="33403B"/>
                <w:sz w:val="18"/>
              </w:rPr>
              <w:t>Durée de la relation + 5 ans (Code monétaire et financier)</w:t>
            </w:r>
          </w:p>
        </w:tc>
      </w:tr>
      <w:tr>
        <w:tc>
          <w:tcPr>
            <w:tcW w:type="dxa" w:w="890"/>
            <w:tcBorders>
              <w:bottom w:val="single" w:sz="4" w:space="0" w:color="DFE7E3"/>
            </w:tcBorders>
          </w:tcPr>
          <w:p>
            <w:r>
              <w:rPr>
                <w:b w:val="0"/>
                <w:i w:val="0"/>
                <w:color w:val="33403B"/>
                <w:sz w:val="18"/>
              </w:rPr>
              <w:t>RGPD-02</w:t>
            </w:r>
          </w:p>
        </w:tc>
        <w:tc>
          <w:tcPr>
            <w:tcW w:type="dxa" w:w="2035"/>
            <w:tcBorders>
              <w:bottom w:val="single" w:sz="4" w:space="0" w:color="DFE7E3"/>
            </w:tcBorders>
          </w:tcPr>
          <w:p>
            <w:r>
              <w:rPr>
                <w:b w:val="0"/>
                <w:i w:val="0"/>
                <w:color w:val="33403B"/>
                <w:sz w:val="18"/>
              </w:rPr>
              <w:t>Lutte contre le blanchiment (LCB-FT)</w:t>
            </w:r>
          </w:p>
        </w:tc>
        <w:tc>
          <w:tcPr>
            <w:tcW w:type="dxa" w:w="2544"/>
            <w:tcBorders>
              <w:bottom w:val="single" w:sz="4" w:space="0" w:color="DFE7E3"/>
            </w:tcBorders>
          </w:tcPr>
          <w:p>
            <w:r>
              <w:rPr>
                <w:b w:val="0"/>
                <w:i w:val="0"/>
                <w:color w:val="33403B"/>
                <w:sz w:val="18"/>
              </w:rPr>
              <w:t>Obligation légale de vigilance et de déclaration TRACFIN.</w:t>
            </w:r>
          </w:p>
        </w:tc>
        <w:tc>
          <w:tcPr>
            <w:tcW w:type="dxa" w:w="2289"/>
            <w:tcBorders>
              <w:bottom w:val="single" w:sz="4" w:space="0" w:color="DFE7E3"/>
            </w:tcBorders>
          </w:tcPr>
          <w:p>
            <w:r>
              <w:rPr>
                <w:b w:val="0"/>
                <w:i w:val="0"/>
                <w:color w:val="33403B"/>
                <w:sz w:val="18"/>
              </w:rPr>
              <w:t>Identité, origine des fonds, alertes de profilage</w:t>
            </w:r>
          </w:p>
        </w:tc>
        <w:tc>
          <w:tcPr>
            <w:tcW w:type="dxa" w:w="1653"/>
            <w:tcBorders>
              <w:bottom w:val="single" w:sz="4" w:space="0" w:color="DFE7E3"/>
            </w:tcBorders>
          </w:tcPr>
          <w:p>
            <w:r>
              <w:rPr>
                <w:b w:val="0"/>
                <w:i w:val="0"/>
                <w:color w:val="33403B"/>
                <w:sz w:val="18"/>
              </w:rPr>
              <w:t>5 ans après la fin de la relation d'affaires</w:t>
            </w:r>
          </w:p>
        </w:tc>
      </w:tr>
      <w:tr>
        <w:tc>
          <w:tcPr>
            <w:tcW w:type="dxa" w:w="890"/>
            <w:tcBorders>
              <w:bottom w:val="single" w:sz="4" w:space="0" w:color="DFE7E3"/>
            </w:tcBorders>
          </w:tcPr>
          <w:p>
            <w:r>
              <w:rPr>
                <w:b w:val="0"/>
                <w:i w:val="0"/>
                <w:color w:val="33403B"/>
                <w:sz w:val="18"/>
              </w:rPr>
              <w:t>RGPD-03</w:t>
            </w:r>
          </w:p>
        </w:tc>
        <w:tc>
          <w:tcPr>
            <w:tcW w:type="dxa" w:w="2035"/>
            <w:tcBorders>
              <w:bottom w:val="single" w:sz="4" w:space="0" w:color="DFE7E3"/>
            </w:tcBorders>
          </w:tcPr>
          <w:p>
            <w:r>
              <w:rPr>
                <w:b w:val="0"/>
                <w:i w:val="0"/>
                <w:color w:val="33403B"/>
                <w:sz w:val="18"/>
              </w:rPr>
              <w:t>Scoring d'octroi de crédit</w:t>
            </w:r>
          </w:p>
        </w:tc>
        <w:tc>
          <w:tcPr>
            <w:tcW w:type="dxa" w:w="2544"/>
            <w:tcBorders>
              <w:bottom w:val="single" w:sz="4" w:space="0" w:color="DFE7E3"/>
            </w:tcBorders>
          </w:tcPr>
          <w:p>
            <w:r>
              <w:rPr>
                <w:b w:val="0"/>
                <w:i w:val="0"/>
                <w:color w:val="33403B"/>
                <w:sz w:val="18"/>
              </w:rPr>
              <w:t>Évaluation de la solvabilité — décision partiellement automatisée.</w:t>
            </w:r>
          </w:p>
        </w:tc>
        <w:tc>
          <w:tcPr>
            <w:tcW w:type="dxa" w:w="2289"/>
            <w:tcBorders>
              <w:bottom w:val="single" w:sz="4" w:space="0" w:color="DFE7E3"/>
            </w:tcBorders>
          </w:tcPr>
          <w:p>
            <w:r>
              <w:rPr>
                <w:b w:val="0"/>
                <w:i w:val="0"/>
                <w:color w:val="33403B"/>
                <w:sz w:val="18"/>
              </w:rPr>
              <w:t>Revenus, charges, historique d'incidents, score calculé</w:t>
            </w:r>
          </w:p>
        </w:tc>
        <w:tc>
          <w:tcPr>
            <w:tcW w:type="dxa" w:w="1653"/>
            <w:tcBorders>
              <w:bottom w:val="single" w:sz="4" w:space="0" w:color="DFE7E3"/>
            </w:tcBorders>
          </w:tcPr>
          <w:p>
            <w:r>
              <w:rPr>
                <w:b w:val="0"/>
                <w:i w:val="0"/>
                <w:color w:val="33403B"/>
                <w:sz w:val="18"/>
              </w:rPr>
              <w:t>Durée du crédit + 5 ans</w:t>
            </w:r>
          </w:p>
        </w:tc>
      </w:tr>
    </w:tbl>
    <w:p/>
    <w:p>
      <w:pPr>
        <w:spacing w:before="200" w:after="40"/>
      </w:pPr>
      <w:r>
        <w:rPr>
          <w:b/>
          <w:i w:val="0"/>
          <w:color w:val="0C2317"/>
          <w:sz w:val="21"/>
        </w:rPr>
        <w:t>4.2 Analyse d'impact — les quatre volets</w:t>
      </w:r>
    </w:p>
    <w:tbl>
      <w:tblPr>
        <w:tblW w:type="auto" w:w="0"/>
        <w:jc w:val="left"/>
        <w:tblLayout w:type="fixed"/>
        <w:tblLook w:firstColumn="1" w:firstRow="1" w:lastColumn="0" w:lastRow="0" w:noHBand="0" w:noVBand="1" w:val="04A0"/>
      </w:tblPr>
      <w:tblGrid>
        <w:gridCol w:w="3765"/>
        <w:gridCol w:w="5647"/>
      </w:tblGrid>
      <w:tr>
        <w:tc>
          <w:tcPr>
            <w:tcW w:type="dxa" w:w="3765"/>
            <w:shd w:val="clear" w:color="auto" w:fill="F2FBF7"/>
            <w:tcBorders>
              <w:bottom w:val="single" w:sz="6" w:space="0" w:color="C9DBD3"/>
            </w:tcBorders>
          </w:tcPr>
          <w:p>
            <w:r>
              <w:rPr>
                <w:b/>
                <w:i w:val="0"/>
                <w:color w:val="0C2317"/>
                <w:sz w:val="16"/>
              </w:rPr>
              <w:t>Volet d'analyse</w:t>
            </w:r>
          </w:p>
        </w:tc>
        <w:tc>
          <w:tcPr>
            <w:tcW w:type="dxa" w:w="5647"/>
            <w:shd w:val="clear" w:color="auto" w:fill="F2FBF7"/>
            <w:tcBorders>
              <w:bottom w:val="single" w:sz="6" w:space="0" w:color="C9DBD3"/>
            </w:tcBorders>
          </w:tcPr>
          <w:p>
            <w:r>
              <w:rPr>
                <w:b/>
                <w:i w:val="0"/>
                <w:color w:val="0C2317"/>
                <w:sz w:val="16"/>
              </w:rPr>
              <w:t>Contenu</w:t>
            </w:r>
          </w:p>
        </w:tc>
      </w:tr>
      <w:tr>
        <w:tc>
          <w:tcPr>
            <w:tcW w:type="dxa" w:w="3765"/>
            <w:tcBorders>
              <w:bottom w:val="single" w:sz="4" w:space="0" w:color="DFE7E3"/>
            </w:tcBorders>
          </w:tcPr>
          <w:p>
            <w:r>
              <w:rPr>
                <w:b w:val="0"/>
                <w:i w:val="0"/>
                <w:color w:val="33403B"/>
                <w:sz w:val="18"/>
              </w:rPr>
              <w:t>Description systématique du traitement</w:t>
            </w:r>
          </w:p>
        </w:tc>
        <w:tc>
          <w:tcPr>
            <w:tcW w:type="dxa" w:w="5647"/>
            <w:tcBorders>
              <w:bottom w:val="single" w:sz="4" w:space="0" w:color="DFE7E3"/>
            </w:tcBorders>
          </w:tcPr>
          <w:p>
            <w:r>
              <w:rPr>
                <w:b w:val="0"/>
                <w:i w:val="0"/>
                <w:color w:val="33403B"/>
                <w:sz w:val="18"/>
              </w:rPr>
              <w:t>Scoring automatisé d'octroi de crédit appliqué à l'ensemble des demandes particuliers, combinant données déclaratives, historique interne et fichiers d'incidents Banque de France. Une décision de refus peut être prononcée sans intervention humaine en deçà d'un seuil de score, avec réexamen humain sur réclamation.</w:t>
            </w:r>
          </w:p>
        </w:tc>
      </w:tr>
      <w:tr>
        <w:tc>
          <w:tcPr>
            <w:tcW w:type="dxa" w:w="3765"/>
            <w:tcBorders>
              <w:bottom w:val="single" w:sz="4" w:space="0" w:color="DFE7E3"/>
            </w:tcBorders>
          </w:tcPr>
          <w:p>
            <w:r>
              <w:rPr>
                <w:b w:val="0"/>
                <w:i w:val="0"/>
                <w:color w:val="33403B"/>
                <w:sz w:val="18"/>
              </w:rPr>
              <w:t>Nécessité et proportionnalité</w:t>
            </w:r>
          </w:p>
        </w:tc>
        <w:tc>
          <w:tcPr>
            <w:tcW w:type="dxa" w:w="5647"/>
            <w:tcBorders>
              <w:bottom w:val="single" w:sz="4" w:space="0" w:color="DFE7E3"/>
            </w:tcBorders>
          </w:tcPr>
          <w:p>
            <w:r>
              <w:rPr>
                <w:b w:val="0"/>
                <w:i w:val="0"/>
                <w:color w:val="33403B"/>
                <w:sz w:val="18"/>
              </w:rPr>
              <w:t>L'évaluation de solvabilité est une obligation prudentielle. L'automatisation est proportionnée au volume (2 800 demandes/mois), mais le refus automatique sans intervention humaine relève de l'Art. 22 RGPD : un droit d'obtenir une intervention humaine a été mis en place, et les variables du modèle ont été réduites de 47 à 31 après revue de pertinence.</w:t>
            </w:r>
          </w:p>
        </w:tc>
      </w:tr>
      <w:tr>
        <w:tc>
          <w:tcPr>
            <w:tcW w:type="dxa" w:w="3765"/>
            <w:tcBorders>
              <w:bottom w:val="single" w:sz="4" w:space="0" w:color="DFE7E3"/>
            </w:tcBorders>
          </w:tcPr>
          <w:p>
            <w:r>
              <w:rPr>
                <w:b w:val="0"/>
                <w:i w:val="0"/>
                <w:color w:val="33403B"/>
                <w:sz w:val="18"/>
              </w:rPr>
              <w:t>Risques pour les droits et libertés</w:t>
            </w:r>
          </w:p>
        </w:tc>
        <w:tc>
          <w:tcPr>
            <w:tcW w:type="dxa" w:w="5647"/>
            <w:tcBorders>
              <w:bottom w:val="single" w:sz="4" w:space="0" w:color="DFE7E3"/>
            </w:tcBorders>
          </w:tcPr>
          <w:p>
            <w:r>
              <w:rPr>
                <w:b w:val="0"/>
                <w:i w:val="0"/>
                <w:color w:val="33403B"/>
                <w:sz w:val="18"/>
              </w:rPr>
              <w:t>Risque principal : discrimination indirecte par des variables corrélées à l'origine géographique (code postal). Gravité Élevée (effet juridique et économique durable sur la personne), vraisemblance Moyenne. Risque secondaire : opacité de la décision, la personne ne pouvant contester ce qu'elle ne comprend pas.</w:t>
            </w:r>
          </w:p>
        </w:tc>
      </w:tr>
      <w:tr>
        <w:tc>
          <w:tcPr>
            <w:tcW w:type="dxa" w:w="3765"/>
            <w:tcBorders>
              <w:bottom w:val="single" w:sz="4" w:space="0" w:color="DFE7E3"/>
            </w:tcBorders>
          </w:tcPr>
          <w:p>
            <w:r>
              <w:rPr>
                <w:b w:val="0"/>
                <w:i w:val="0"/>
                <w:color w:val="33403B"/>
                <w:sz w:val="18"/>
              </w:rPr>
              <w:t>Mesures d'atténuation</w:t>
            </w:r>
          </w:p>
        </w:tc>
        <w:tc>
          <w:tcPr>
            <w:tcW w:type="dxa" w:w="5647"/>
            <w:tcBorders>
              <w:bottom w:val="single" w:sz="4" w:space="0" w:color="DFE7E3"/>
            </w:tcBorders>
          </w:tcPr>
          <w:p>
            <w:r>
              <w:rPr>
                <w:b w:val="0"/>
                <w:i w:val="0"/>
                <w:color w:val="33403B"/>
                <w:sz w:val="18"/>
              </w:rPr>
              <w:t>Retrait de la variable code postal et des 4 variables les plus corrélées, test de disparité annuel sur cohortes, motivation systématique du refus en langage clair, droit à l'intervention humaine sous 15 jours, journalisation des décisions pendant 5 ans.</w:t>
            </w:r>
          </w:p>
        </w:tc>
      </w:tr>
    </w:tbl>
    <w:p/>
    <w:p>
      <w:pPr>
        <w:spacing w:before="200" w:after="40"/>
      </w:pPr>
      <w:r>
        <w:rPr>
          <w:b/>
          <w:i w:val="0"/>
          <w:color w:val="0C2317"/>
          <w:sz w:val="21"/>
        </w:rPr>
        <w:t>4.3 Obligations organisationnelles</w:t>
      </w:r>
    </w:p>
    <w:tbl>
      <w:tblPr>
        <w:tblW w:type="auto" w:w="0"/>
        <w:jc w:val="left"/>
        <w:tblLayout w:type="fixed"/>
        <w:tblLook w:firstColumn="1" w:firstRow="1" w:lastColumn="0" w:lastRow="0" w:noHBand="0" w:noVBand="1" w:val="04A0"/>
      </w:tblPr>
      <w:tblGrid>
        <w:gridCol w:w="3036"/>
        <w:gridCol w:w="1822"/>
        <w:gridCol w:w="1518"/>
        <w:gridCol w:w="3036"/>
      </w:tblGrid>
      <w:tr>
        <w:tc>
          <w:tcPr>
            <w:tcW w:type="dxa" w:w="3036"/>
            <w:shd w:val="clear" w:color="auto" w:fill="F2FBF7"/>
            <w:tcBorders>
              <w:bottom w:val="single" w:sz="6" w:space="0" w:color="C9DBD3"/>
            </w:tcBorders>
          </w:tcPr>
          <w:p>
            <w:r>
              <w:rPr>
                <w:b/>
                <w:i w:val="0"/>
                <w:color w:val="0C2317"/>
                <w:sz w:val="16"/>
              </w:rPr>
              <w:t>Obligation</w:t>
            </w:r>
          </w:p>
        </w:tc>
        <w:tc>
          <w:tcPr>
            <w:tcW w:type="dxa" w:w="1822"/>
            <w:shd w:val="clear" w:color="auto" w:fill="F2FBF7"/>
            <w:tcBorders>
              <w:bottom w:val="single" w:sz="6" w:space="0" w:color="C9DBD3"/>
            </w:tcBorders>
          </w:tcPr>
          <w:p>
            <w:r>
              <w:rPr>
                <w:b/>
                <w:i w:val="0"/>
                <w:color w:val="0C2317"/>
                <w:sz w:val="16"/>
              </w:rPr>
              <w:t>Référence</w:t>
            </w:r>
          </w:p>
        </w:tc>
        <w:tc>
          <w:tcPr>
            <w:tcW w:type="dxa" w:w="1518"/>
            <w:shd w:val="clear" w:color="auto" w:fill="F2FBF7"/>
            <w:tcBorders>
              <w:bottom w:val="single" w:sz="6" w:space="0" w:color="C9DBD3"/>
            </w:tcBorders>
          </w:tcPr>
          <w:p>
            <w:r>
              <w:rPr>
                <w:b/>
                <w:i w:val="0"/>
                <w:color w:val="0C2317"/>
                <w:sz w:val="16"/>
              </w:rPr>
              <w:t>État</w:t>
            </w:r>
          </w:p>
        </w:tc>
        <w:tc>
          <w:tcPr>
            <w:tcW w:type="dxa" w:w="3036"/>
            <w:shd w:val="clear" w:color="auto" w:fill="F2FBF7"/>
            <w:tcBorders>
              <w:bottom w:val="single" w:sz="6" w:space="0" w:color="C9DBD3"/>
            </w:tcBorders>
          </w:tcPr>
          <w:p>
            <w:r>
              <w:rPr>
                <w:b/>
                <w:i w:val="0"/>
                <w:color w:val="0C2317"/>
                <w:sz w:val="16"/>
              </w:rPr>
              <w:t>Commentaire</w:t>
            </w:r>
          </w:p>
        </w:tc>
      </w:tr>
      <w:tr>
        <w:tc>
          <w:tcPr>
            <w:tcW w:type="dxa" w:w="3036"/>
            <w:tcBorders>
              <w:bottom w:val="single" w:sz="4" w:space="0" w:color="DFE7E3"/>
            </w:tcBorders>
          </w:tcPr>
          <w:p>
            <w:r>
              <w:rPr>
                <w:b w:val="0"/>
                <w:i w:val="0"/>
                <w:color w:val="33403B"/>
                <w:sz w:val="18"/>
              </w:rPr>
              <w:t>Avis du délégué à la protection des données recueilli</w:t>
            </w:r>
          </w:p>
        </w:tc>
        <w:tc>
          <w:tcPr>
            <w:tcW w:type="dxa" w:w="1822"/>
            <w:tcBorders>
              <w:bottom w:val="single" w:sz="4" w:space="0" w:color="DFE7E3"/>
            </w:tcBorders>
          </w:tcPr>
          <w:p>
            <w:r>
              <w:rPr>
                <w:b w:val="0"/>
                <w:i w:val="0"/>
                <w:color w:val="33403B"/>
                <w:sz w:val="18"/>
              </w:rPr>
              <w:t>RGPD Art. 35 §2</w:t>
            </w:r>
          </w:p>
        </w:tc>
        <w:tc>
          <w:tcPr>
            <w:tcW w:type="dxa" w:w="1518"/>
            <w:tcBorders>
              <w:bottom w:val="single" w:sz="4" w:space="0" w:color="DFE7E3"/>
            </w:tcBorders>
          </w:tcPr>
          <w:p>
            <w:r>
              <w:rPr>
                <w:b w:val="0"/>
                <w:i w:val="0"/>
                <w:color w:val="33403B"/>
                <w:sz w:val="18"/>
              </w:rPr>
              <w:t>Fait</w:t>
            </w:r>
          </w:p>
        </w:tc>
        <w:tc>
          <w:tcPr>
            <w:tcW w:type="dxa" w:w="3036"/>
            <w:tcBorders>
              <w:bottom w:val="single" w:sz="4" w:space="0" w:color="DFE7E3"/>
            </w:tcBorders>
          </w:tcPr>
          <w:p>
            <w:r>
              <w:rPr>
                <w:b w:val="0"/>
                <w:i w:val="0"/>
                <w:color w:val="33403B"/>
                <w:sz w:val="18"/>
              </w:rPr>
              <w:t>DPO interne — avis réservé du 22/06/2026 : maintient une alerte sur le risque de discrimination indirecte résiduelle.</w:t>
            </w:r>
          </w:p>
        </w:tc>
      </w:tr>
      <w:tr>
        <w:tc>
          <w:tcPr>
            <w:tcW w:type="dxa" w:w="3036"/>
            <w:tcBorders>
              <w:bottom w:val="single" w:sz="4" w:space="0" w:color="DFE7E3"/>
            </w:tcBorders>
          </w:tcPr>
          <w:p>
            <w:r>
              <w:rPr>
                <w:b w:val="0"/>
                <w:i w:val="0"/>
                <w:color w:val="33403B"/>
                <w:sz w:val="18"/>
              </w:rPr>
              <w:t>Avis des personnes concernées recueilli (ou motif de non-consultation)</w:t>
            </w:r>
          </w:p>
        </w:tc>
        <w:tc>
          <w:tcPr>
            <w:tcW w:type="dxa" w:w="1822"/>
            <w:tcBorders>
              <w:bottom w:val="single" w:sz="4" w:space="0" w:color="DFE7E3"/>
            </w:tcBorders>
          </w:tcPr>
          <w:p>
            <w:r>
              <w:rPr>
                <w:b w:val="0"/>
                <w:i w:val="0"/>
                <w:color w:val="33403B"/>
                <w:sz w:val="18"/>
              </w:rPr>
              <w:t>RGPD Art. 35 §9</w:t>
            </w:r>
          </w:p>
        </w:tc>
        <w:tc>
          <w:tcPr>
            <w:tcW w:type="dxa" w:w="1518"/>
            <w:tcBorders>
              <w:bottom w:val="single" w:sz="4" w:space="0" w:color="DFE7E3"/>
            </w:tcBorders>
          </w:tcPr>
          <w:p>
            <w:r>
              <w:rPr>
                <w:b w:val="0"/>
                <w:i w:val="0"/>
                <w:color w:val="33403B"/>
                <w:sz w:val="18"/>
              </w:rPr>
              <w:t>Fait</w:t>
            </w:r>
          </w:p>
        </w:tc>
        <w:tc>
          <w:tcPr>
            <w:tcW w:type="dxa" w:w="3036"/>
            <w:tcBorders>
              <w:bottom w:val="single" w:sz="4" w:space="0" w:color="DFE7E3"/>
            </w:tcBorders>
          </w:tcPr>
          <w:p>
            <w:r>
              <w:rPr>
                <w:b w:val="0"/>
                <w:i w:val="0"/>
                <w:color w:val="33403B"/>
                <w:sz w:val="18"/>
              </w:rPr>
              <w:t>Panel de 12 clients consulté en juin 2026 ; incompréhension majoritaire des motifs de refus, à l'origine de la mesure de motivation en langage clair.</w:t>
            </w:r>
          </w:p>
        </w:tc>
      </w:tr>
      <w:tr>
        <w:tc>
          <w:tcPr>
            <w:tcW w:type="dxa" w:w="3036"/>
            <w:tcBorders>
              <w:bottom w:val="single" w:sz="4" w:space="0" w:color="DFE7E3"/>
            </w:tcBorders>
          </w:tcPr>
          <w:p>
            <w:r>
              <w:rPr>
                <w:b w:val="0"/>
                <w:i w:val="0"/>
                <w:color w:val="33403B"/>
                <w:sz w:val="18"/>
              </w:rPr>
              <w:t>Confrontation aux listes CNIL des traitements soumis / exemptés</w:t>
            </w:r>
          </w:p>
        </w:tc>
        <w:tc>
          <w:tcPr>
            <w:tcW w:type="dxa" w:w="1822"/>
            <w:tcBorders>
              <w:bottom w:val="single" w:sz="4" w:space="0" w:color="DFE7E3"/>
            </w:tcBorders>
          </w:tcPr>
          <w:p>
            <w:r>
              <w:rPr>
                <w:b w:val="0"/>
                <w:i w:val="0"/>
                <w:color w:val="33403B"/>
                <w:sz w:val="18"/>
              </w:rPr>
              <w:t>RGPD Art. 35 §4-5</w:t>
            </w:r>
          </w:p>
        </w:tc>
        <w:tc>
          <w:tcPr>
            <w:tcW w:type="dxa" w:w="1518"/>
            <w:tcBorders>
              <w:bottom w:val="single" w:sz="4" w:space="0" w:color="DFE7E3"/>
            </w:tcBorders>
          </w:tcPr>
          <w:p>
            <w:r>
              <w:rPr>
                <w:b w:val="0"/>
                <w:i w:val="0"/>
                <w:color w:val="33403B"/>
                <w:sz w:val="18"/>
              </w:rPr>
              <w:t>Fait</w:t>
            </w:r>
          </w:p>
        </w:tc>
        <w:tc>
          <w:tcPr>
            <w:tcW w:type="dxa" w:w="3036"/>
            <w:tcBorders>
              <w:bottom w:val="single" w:sz="4" w:space="0" w:color="DFE7E3"/>
            </w:tcBorders>
          </w:tcPr>
          <w:p>
            <w:r>
              <w:rPr>
                <w:b w:val="0"/>
                <w:i w:val="0"/>
                <w:color w:val="33403B"/>
                <w:sz w:val="18"/>
              </w:rPr>
              <w:t>Traitement figurant sur la liste CNIL (décision automatisée avec effet juridique) — AIPD obligatoire.</w:t>
            </w:r>
          </w:p>
        </w:tc>
      </w:tr>
      <w:tr>
        <w:tc>
          <w:tcPr>
            <w:tcW w:type="dxa" w:w="3036"/>
            <w:tcBorders>
              <w:bottom w:val="single" w:sz="4" w:space="0" w:color="DFE7E3"/>
            </w:tcBorders>
          </w:tcPr>
          <w:p>
            <w:r>
              <w:rPr>
                <w:b w:val="0"/>
                <w:i w:val="0"/>
                <w:color w:val="33403B"/>
                <w:sz w:val="18"/>
              </w:rPr>
              <w:t>Réexamen prévu à chaque évolution du niveau de risque</w:t>
            </w:r>
          </w:p>
        </w:tc>
        <w:tc>
          <w:tcPr>
            <w:tcW w:type="dxa" w:w="1822"/>
            <w:tcBorders>
              <w:bottom w:val="single" w:sz="4" w:space="0" w:color="DFE7E3"/>
            </w:tcBorders>
          </w:tcPr>
          <w:p>
            <w:r>
              <w:rPr>
                <w:b w:val="0"/>
                <w:i w:val="0"/>
                <w:color w:val="33403B"/>
                <w:sz w:val="18"/>
              </w:rPr>
              <w:t>RGPD Art. 35 §11</w:t>
            </w:r>
          </w:p>
        </w:tc>
        <w:tc>
          <w:tcPr>
            <w:tcW w:type="dxa" w:w="1518"/>
            <w:tcBorders>
              <w:bottom w:val="single" w:sz="4" w:space="0" w:color="DFE7E3"/>
            </w:tcBorders>
          </w:tcPr>
          <w:p>
            <w:r>
              <w:rPr>
                <w:b w:val="0"/>
                <w:i w:val="0"/>
                <w:color w:val="33403B"/>
                <w:sz w:val="18"/>
              </w:rPr>
              <w:t>Fait</w:t>
            </w:r>
          </w:p>
        </w:tc>
        <w:tc>
          <w:tcPr>
            <w:tcW w:type="dxa" w:w="3036"/>
            <w:tcBorders>
              <w:bottom w:val="single" w:sz="4" w:space="0" w:color="DFE7E3"/>
            </w:tcBorders>
          </w:tcPr>
          <w:p>
            <w:r>
              <w:rPr>
                <w:b w:val="0"/>
                <w:i w:val="0"/>
                <w:color w:val="33403B"/>
                <w:sz w:val="18"/>
              </w:rPr>
              <w:t>Réexamen à chaque réentraînement du modèle et au minimum annuellement.</w:t>
            </w:r>
          </w:p>
        </w:tc>
      </w:tr>
      <w:tr>
        <w:tc>
          <w:tcPr>
            <w:tcW w:type="dxa" w:w="3036"/>
            <w:tcBorders>
              <w:bottom w:val="single" w:sz="4" w:space="0" w:color="DFE7E3"/>
            </w:tcBorders>
          </w:tcPr>
          <w:p>
            <w:r>
              <w:rPr>
                <w:b w:val="0"/>
                <w:i w:val="0"/>
                <w:color w:val="33403B"/>
                <w:sz w:val="18"/>
              </w:rPr>
              <w:t>Consultation préalable de la CNIL avant mise en œuvre</w:t>
            </w:r>
          </w:p>
        </w:tc>
        <w:tc>
          <w:tcPr>
            <w:tcW w:type="dxa" w:w="1822"/>
            <w:tcBorders>
              <w:bottom w:val="single" w:sz="4" w:space="0" w:color="DFE7E3"/>
            </w:tcBorders>
          </w:tcPr>
          <w:p>
            <w:r>
              <w:rPr>
                <w:b w:val="0"/>
                <w:i w:val="0"/>
                <w:color w:val="33403B"/>
                <w:sz w:val="18"/>
              </w:rPr>
              <w:t>RGPD Art. 36 §1</w:t>
            </w:r>
          </w:p>
        </w:tc>
        <w:tc>
          <w:tcPr>
            <w:tcW w:type="dxa" w:w="1518"/>
            <w:tcBorders>
              <w:bottom w:val="single" w:sz="4" w:space="0" w:color="DFE7E3"/>
            </w:tcBorders>
          </w:tcPr>
          <w:p>
            <w:r>
              <w:rPr>
                <w:b w:val="0"/>
                <w:i w:val="0"/>
                <w:color w:val="33403B"/>
                <w:sz w:val="18"/>
              </w:rPr>
              <w:t>Fait</w:t>
            </w:r>
          </w:p>
        </w:tc>
        <w:tc>
          <w:tcPr>
            <w:tcW w:type="dxa" w:w="3036"/>
            <w:tcBorders>
              <w:bottom w:val="single" w:sz="4" w:space="0" w:color="DFE7E3"/>
            </w:tcBorders>
          </w:tcPr>
          <w:p>
            <w:r>
              <w:rPr>
                <w:b w:val="0"/>
                <w:i w:val="0"/>
                <w:color w:val="33403B"/>
                <w:sz w:val="18"/>
              </w:rPr>
              <w:t>Consultation préalable CNIL déposée le 08/07/2026 (accusé AR-2026-4471), réponse attendue sous 8 semaines. Mise en production suspendue dans l'intervalle.</w:t>
            </w:r>
          </w:p>
        </w:tc>
      </w:tr>
    </w:tbl>
    <w:p/>
    <w:p>
      <w:pPr>
        <w:spacing w:before="400" w:after="160"/>
        <w:pBdr>
          <w:bottom w:val="single" w:sz="16" w:space="4" w:color="2EE6A0"/>
        </w:pBdr>
      </w:pPr>
      <w:r>
        <w:rPr>
          <w:b/>
          <w:i w:val="0"/>
          <w:color w:val="2EE6A0"/>
          <w:sz w:val="28"/>
        </w:rPr>
        <w:t xml:space="preserve">5. </w:t>
      </w:r>
      <w:r>
        <w:rPr>
          <w:b/>
          <w:i w:val="0"/>
          <w:color w:val="0C2317"/>
          <w:sz w:val="28"/>
        </w:rPr>
        <w:t>Analyse de risque</w:t>
      </w:r>
    </w:p>
    <w:p>
      <w:pPr>
        <w:spacing w:before="200" w:after="40"/>
      </w:pPr>
      <w:r>
        <w:rPr>
          <w:b/>
          <w:i w:val="0"/>
          <w:color w:val="0C2317"/>
          <w:sz w:val="21"/>
        </w:rPr>
        <w:t>5.1 Événements redoutés</w:t>
      </w:r>
    </w:p>
    <w:tbl>
      <w:tblPr>
        <w:tblW w:type="auto" w:w="0"/>
        <w:jc w:val="left"/>
        <w:tblLayout w:type="fixed"/>
        <w:tblLook w:firstColumn="1" w:firstRow="1" w:lastColumn="0" w:lastRow="0" w:noHBand="0" w:noVBand="1" w:val="04A0"/>
      </w:tblPr>
      <w:tblGrid>
        <w:gridCol w:w="1098"/>
        <w:gridCol w:w="3137"/>
        <w:gridCol w:w="1255"/>
        <w:gridCol w:w="3922"/>
      </w:tblGrid>
      <w:tr>
        <w:tc>
          <w:tcPr>
            <w:tcW w:type="dxa" w:w="1098"/>
            <w:shd w:val="clear" w:color="auto" w:fill="F2FBF7"/>
            <w:tcBorders>
              <w:bottom w:val="single" w:sz="6" w:space="0" w:color="C9DBD3"/>
            </w:tcBorders>
          </w:tcPr>
          <w:p>
            <w:r>
              <w:rPr>
                <w:b/>
                <w:i w:val="0"/>
                <w:color w:val="0C2317"/>
                <w:sz w:val="16"/>
              </w:rPr>
              <w:t>ID</w:t>
            </w:r>
          </w:p>
        </w:tc>
        <w:tc>
          <w:tcPr>
            <w:tcW w:type="dxa" w:w="3137"/>
            <w:shd w:val="clear" w:color="auto" w:fill="F2FBF7"/>
            <w:tcBorders>
              <w:bottom w:val="single" w:sz="6" w:space="0" w:color="C9DBD3"/>
            </w:tcBorders>
          </w:tcPr>
          <w:p>
            <w:r>
              <w:rPr>
                <w:b/>
                <w:i w:val="0"/>
                <w:color w:val="0C2317"/>
                <w:sz w:val="16"/>
              </w:rPr>
              <w:t>Événement redouté</w:t>
            </w:r>
          </w:p>
        </w:tc>
        <w:tc>
          <w:tcPr>
            <w:tcW w:type="dxa" w:w="1255"/>
            <w:shd w:val="clear" w:color="auto" w:fill="F2FBF7"/>
            <w:tcBorders>
              <w:bottom w:val="single" w:sz="6" w:space="0" w:color="C9DBD3"/>
            </w:tcBorders>
          </w:tcPr>
          <w:p>
            <w:pPr>
              <w:jc w:val="right"/>
            </w:pPr>
            <w:r>
              <w:rPr>
                <w:b/>
                <w:i w:val="0"/>
                <w:color w:val="0C2317"/>
                <w:sz w:val="16"/>
              </w:rPr>
              <w:t>Gravité</w:t>
            </w:r>
          </w:p>
        </w:tc>
        <w:tc>
          <w:tcPr>
            <w:tcW w:type="dxa" w:w="3922"/>
            <w:shd w:val="clear" w:color="auto" w:fill="F2FBF7"/>
            <w:tcBorders>
              <w:bottom w:val="single" w:sz="6" w:space="0" w:color="C9DBD3"/>
            </w:tcBorders>
          </w:tcPr>
          <w:p>
            <w:r>
              <w:rPr>
                <w:b/>
                <w:i w:val="0"/>
                <w:color w:val="0C2317"/>
                <w:sz w:val="16"/>
              </w:rPr>
              <w:t>Impacts</w:t>
            </w:r>
          </w:p>
        </w:tc>
      </w:tr>
      <w:tr>
        <w:tc>
          <w:tcPr>
            <w:tcW w:type="dxa" w:w="1098"/>
            <w:tcBorders>
              <w:bottom w:val="single" w:sz="4" w:space="0" w:color="DFE7E3"/>
            </w:tcBorders>
          </w:tcPr>
          <w:p>
            <w:r>
              <w:rPr>
                <w:b w:val="0"/>
                <w:i w:val="0"/>
                <w:color w:val="33403B"/>
                <w:sz w:val="18"/>
              </w:rPr>
              <w:t>ER-01</w:t>
            </w:r>
          </w:p>
        </w:tc>
        <w:tc>
          <w:tcPr>
            <w:tcW w:type="dxa" w:w="3137"/>
            <w:tcBorders>
              <w:bottom w:val="single" w:sz="4" w:space="0" w:color="DFE7E3"/>
            </w:tcBorders>
          </w:tcPr>
          <w:p>
            <w:r>
              <w:rPr>
                <w:b w:val="0"/>
                <w:i w:val="0"/>
                <w:color w:val="33403B"/>
                <w:sz w:val="18"/>
              </w:rPr>
              <w:t>Indisponibilité prolongée du paiement instantané</w:t>
            </w:r>
          </w:p>
        </w:tc>
        <w:tc>
          <w:tcPr>
            <w:tcW w:type="dxa" w:w="1255"/>
            <w:tcBorders>
              <w:bottom w:val="single" w:sz="4" w:space="0" w:color="DFE7E3"/>
            </w:tcBorders>
          </w:tcPr>
          <w:p>
            <w:pPr>
              <w:jc w:val="right"/>
            </w:pPr>
            <w:r>
              <w:rPr>
                <w:b w:val="0"/>
                <w:i w:val="0"/>
                <w:color w:val="33403B"/>
                <w:sz w:val="18"/>
              </w:rPr>
              <w:t>4/4</w:t>
            </w:r>
          </w:p>
        </w:tc>
        <w:tc>
          <w:tcPr>
            <w:tcW w:type="dxa" w:w="3922"/>
            <w:tcBorders>
              <w:bottom w:val="single" w:sz="4" w:space="0" w:color="DFE7E3"/>
            </w:tcBorders>
          </w:tcPr>
          <w:p>
            <w:r>
              <w:rPr>
                <w:b w:val="0"/>
                <w:i w:val="0"/>
                <w:color w:val="33403B"/>
                <w:sz w:val="18"/>
              </w:rPr>
              <w:t>Fonction critique DORA interrompue, notification ACPR sous 4 h, atteinte de réputation immédiate.</w:t>
            </w:r>
          </w:p>
        </w:tc>
      </w:tr>
      <w:tr>
        <w:tc>
          <w:tcPr>
            <w:tcW w:type="dxa" w:w="1098"/>
            <w:tcBorders>
              <w:bottom w:val="single" w:sz="4" w:space="0" w:color="DFE7E3"/>
            </w:tcBorders>
          </w:tcPr>
          <w:p>
            <w:r>
              <w:rPr>
                <w:b w:val="0"/>
                <w:i w:val="0"/>
                <w:color w:val="33403B"/>
                <w:sz w:val="18"/>
              </w:rPr>
              <w:t>ER-02</w:t>
            </w:r>
          </w:p>
        </w:tc>
        <w:tc>
          <w:tcPr>
            <w:tcW w:type="dxa" w:w="3137"/>
            <w:tcBorders>
              <w:bottom w:val="single" w:sz="4" w:space="0" w:color="DFE7E3"/>
            </w:tcBorders>
          </w:tcPr>
          <w:p>
            <w:r>
              <w:rPr>
                <w:b w:val="0"/>
                <w:i w:val="0"/>
                <w:color w:val="33403B"/>
                <w:sz w:val="18"/>
              </w:rPr>
              <w:t>Altération de l'intégrité des soldes clients</w:t>
            </w:r>
          </w:p>
        </w:tc>
        <w:tc>
          <w:tcPr>
            <w:tcW w:type="dxa" w:w="1255"/>
            <w:tcBorders>
              <w:bottom w:val="single" w:sz="4" w:space="0" w:color="DFE7E3"/>
            </w:tcBorders>
          </w:tcPr>
          <w:p>
            <w:pPr>
              <w:jc w:val="right"/>
            </w:pPr>
            <w:r>
              <w:rPr>
                <w:b w:val="0"/>
                <w:i w:val="0"/>
                <w:color w:val="33403B"/>
                <w:sz w:val="18"/>
              </w:rPr>
              <w:t>4/4</w:t>
            </w:r>
          </w:p>
        </w:tc>
        <w:tc>
          <w:tcPr>
            <w:tcW w:type="dxa" w:w="3922"/>
            <w:tcBorders>
              <w:bottom w:val="single" w:sz="4" w:space="0" w:color="DFE7E3"/>
            </w:tcBorders>
          </w:tcPr>
          <w:p>
            <w:r>
              <w:rPr>
                <w:b w:val="0"/>
                <w:i w:val="0"/>
                <w:color w:val="33403B"/>
                <w:sz w:val="18"/>
              </w:rPr>
              <w:t>Perte de confiance systémique, reconstitution manuelle, risque prudentiel.</w:t>
            </w:r>
          </w:p>
        </w:tc>
      </w:tr>
      <w:tr>
        <w:tc>
          <w:tcPr>
            <w:tcW w:type="dxa" w:w="1098"/>
            <w:tcBorders>
              <w:bottom w:val="single" w:sz="4" w:space="0" w:color="DFE7E3"/>
            </w:tcBorders>
          </w:tcPr>
          <w:p>
            <w:r>
              <w:rPr>
                <w:b w:val="0"/>
                <w:i w:val="0"/>
                <w:color w:val="33403B"/>
                <w:sz w:val="18"/>
              </w:rPr>
              <w:t>ER-03</w:t>
            </w:r>
          </w:p>
        </w:tc>
        <w:tc>
          <w:tcPr>
            <w:tcW w:type="dxa" w:w="3137"/>
            <w:tcBorders>
              <w:bottom w:val="single" w:sz="4" w:space="0" w:color="DFE7E3"/>
            </w:tcBorders>
          </w:tcPr>
          <w:p>
            <w:r>
              <w:rPr>
                <w:b w:val="0"/>
                <w:i w:val="0"/>
                <w:color w:val="33403B"/>
                <w:sz w:val="18"/>
              </w:rPr>
              <w:t>Fuite du fichier clients (210 000 personnes)</w:t>
            </w:r>
          </w:p>
        </w:tc>
        <w:tc>
          <w:tcPr>
            <w:tcW w:type="dxa" w:w="1255"/>
            <w:tcBorders>
              <w:bottom w:val="single" w:sz="4" w:space="0" w:color="DFE7E3"/>
            </w:tcBorders>
          </w:tcPr>
          <w:p>
            <w:pPr>
              <w:jc w:val="right"/>
            </w:pPr>
            <w:r>
              <w:rPr>
                <w:b w:val="0"/>
                <w:i w:val="0"/>
                <w:color w:val="33403B"/>
                <w:sz w:val="18"/>
              </w:rPr>
              <w:t>4/4</w:t>
            </w:r>
          </w:p>
        </w:tc>
        <w:tc>
          <w:tcPr>
            <w:tcW w:type="dxa" w:w="3922"/>
            <w:tcBorders>
              <w:bottom w:val="single" w:sz="4" w:space="0" w:color="DFE7E3"/>
            </w:tcBorders>
          </w:tcPr>
          <w:p>
            <w:r>
              <w:rPr>
                <w:b w:val="0"/>
                <w:i w:val="0"/>
                <w:color w:val="33403B"/>
                <w:sz w:val="18"/>
              </w:rPr>
              <w:t>Notification CNIL sous 72 h et information individuelle, sanction possible, action de groupe.</w:t>
            </w:r>
          </w:p>
        </w:tc>
      </w:tr>
    </w:tbl>
    <w:p/>
    <w:p>
      <w:pPr>
        <w:spacing w:before="200" w:after="40"/>
      </w:pPr>
      <w:r>
        <w:rPr>
          <w:b/>
          <w:i w:val="0"/>
          <w:color w:val="0C2317"/>
          <w:sz w:val="21"/>
        </w:rPr>
        <w:t>5.2 Sources de risque</w:t>
      </w:r>
    </w:p>
    <w:tbl>
      <w:tblPr>
        <w:tblW w:type="auto" w:w="0"/>
        <w:jc w:val="left"/>
        <w:tblLayout w:type="fixed"/>
        <w:tblLook w:firstColumn="1" w:firstRow="1" w:lastColumn="0" w:lastRow="0" w:noHBand="0" w:noVBand="1" w:val="04A0"/>
      </w:tblPr>
      <w:tblGrid>
        <w:gridCol w:w="1402"/>
        <w:gridCol w:w="4005"/>
        <w:gridCol w:w="4005"/>
      </w:tblGrid>
      <w:tr>
        <w:tc>
          <w:tcPr>
            <w:tcW w:type="dxa" w:w="1402"/>
            <w:shd w:val="clear" w:color="auto" w:fill="F2FBF7"/>
            <w:tcBorders>
              <w:bottom w:val="single" w:sz="6" w:space="0" w:color="C9DBD3"/>
            </w:tcBorders>
          </w:tcPr>
          <w:p>
            <w:r>
              <w:rPr>
                <w:b/>
                <w:i w:val="0"/>
                <w:color w:val="0C2317"/>
                <w:sz w:val="16"/>
              </w:rPr>
              <w:t>ID</w:t>
            </w:r>
          </w:p>
        </w:tc>
        <w:tc>
          <w:tcPr>
            <w:tcW w:type="dxa" w:w="4005"/>
            <w:shd w:val="clear" w:color="auto" w:fill="F2FBF7"/>
            <w:tcBorders>
              <w:bottom w:val="single" w:sz="6" w:space="0" w:color="C9DBD3"/>
            </w:tcBorders>
          </w:tcPr>
          <w:p>
            <w:r>
              <w:rPr>
                <w:b/>
                <w:i w:val="0"/>
                <w:color w:val="0C2317"/>
                <w:sz w:val="16"/>
              </w:rPr>
              <w:t>Source de risque</w:t>
            </w:r>
          </w:p>
        </w:tc>
        <w:tc>
          <w:tcPr>
            <w:tcW w:type="dxa" w:w="4005"/>
            <w:shd w:val="clear" w:color="auto" w:fill="F2FBF7"/>
            <w:tcBorders>
              <w:bottom w:val="single" w:sz="6" w:space="0" w:color="C9DBD3"/>
            </w:tcBorders>
          </w:tcPr>
          <w:p>
            <w:r>
              <w:rPr>
                <w:b/>
                <w:i w:val="0"/>
                <w:color w:val="0C2317"/>
                <w:sz w:val="16"/>
              </w:rPr>
              <w:t>Objectif visé</w:t>
            </w:r>
          </w:p>
        </w:tc>
      </w:tr>
      <w:tr>
        <w:tc>
          <w:tcPr>
            <w:tcW w:type="dxa" w:w="1402"/>
            <w:tcBorders>
              <w:bottom w:val="single" w:sz="4" w:space="0" w:color="DFE7E3"/>
            </w:tcBorders>
          </w:tcPr>
          <w:p>
            <w:r>
              <w:rPr>
                <w:b w:val="0"/>
                <w:i w:val="0"/>
                <w:color w:val="33403B"/>
                <w:sz w:val="18"/>
              </w:rPr>
              <w:t>SR-01</w:t>
            </w:r>
          </w:p>
        </w:tc>
        <w:tc>
          <w:tcPr>
            <w:tcW w:type="dxa" w:w="4005"/>
            <w:tcBorders>
              <w:bottom w:val="single" w:sz="4" w:space="0" w:color="DFE7E3"/>
            </w:tcBorders>
          </w:tcPr>
          <w:p>
            <w:r>
              <w:rPr>
                <w:b w:val="0"/>
                <w:i w:val="0"/>
                <w:color w:val="33403B"/>
                <w:sz w:val="18"/>
              </w:rPr>
              <w:t>Groupe criminel spécialisé secteur financier</w:t>
            </w:r>
          </w:p>
        </w:tc>
        <w:tc>
          <w:tcPr>
            <w:tcW w:type="dxa" w:w="4005"/>
            <w:tcBorders>
              <w:bottom w:val="single" w:sz="4" w:space="0" w:color="DFE7E3"/>
            </w:tcBorders>
          </w:tcPr>
          <w:p>
            <w:r>
              <w:rPr>
                <w:b w:val="0"/>
                <w:i w:val="0"/>
                <w:color w:val="33403B"/>
                <w:sz w:val="18"/>
              </w:rPr>
              <w:t>Fraude au virement et extorsion.</w:t>
            </w:r>
          </w:p>
        </w:tc>
      </w:tr>
      <w:tr>
        <w:tc>
          <w:tcPr>
            <w:tcW w:type="dxa" w:w="1402"/>
            <w:tcBorders>
              <w:bottom w:val="single" w:sz="4" w:space="0" w:color="DFE7E3"/>
            </w:tcBorders>
          </w:tcPr>
          <w:p>
            <w:r>
              <w:rPr>
                <w:b w:val="0"/>
                <w:i w:val="0"/>
                <w:color w:val="33403B"/>
                <w:sz w:val="18"/>
              </w:rPr>
              <w:t>SR-02</w:t>
            </w:r>
          </w:p>
        </w:tc>
        <w:tc>
          <w:tcPr>
            <w:tcW w:type="dxa" w:w="4005"/>
            <w:tcBorders>
              <w:bottom w:val="single" w:sz="4" w:space="0" w:color="DFE7E3"/>
            </w:tcBorders>
          </w:tcPr>
          <w:p>
            <w:r>
              <w:rPr>
                <w:b w:val="0"/>
                <w:i w:val="0"/>
                <w:color w:val="33403B"/>
                <w:sz w:val="18"/>
              </w:rPr>
              <w:t>Compromission de la chaîne d'approvisionnement (éditeur core banking)</w:t>
            </w:r>
          </w:p>
        </w:tc>
        <w:tc>
          <w:tcPr>
            <w:tcW w:type="dxa" w:w="4005"/>
            <w:tcBorders>
              <w:bottom w:val="single" w:sz="4" w:space="0" w:color="DFE7E3"/>
            </w:tcBorders>
          </w:tcPr>
          <w:p>
            <w:r>
              <w:rPr>
                <w:b w:val="0"/>
                <w:i w:val="0"/>
                <w:color w:val="33403B"/>
                <w:sz w:val="18"/>
              </w:rPr>
              <w:t>Accès indirect au SI bancaire via une mise à jour piégée.</w:t>
            </w:r>
          </w:p>
        </w:tc>
      </w:tr>
    </w:tbl>
    <w:p/>
    <w:p>
      <w:pPr>
        <w:spacing w:before="200" w:after="40"/>
      </w:pPr>
      <w:r>
        <w:rPr>
          <w:b/>
          <w:i w:val="0"/>
          <w:color w:val="0C2317"/>
          <w:sz w:val="21"/>
        </w:rPr>
        <w:t>5.3 Scénarios opérationnels</w:t>
      </w:r>
    </w:p>
    <w:tbl>
      <w:tblPr>
        <w:tblW w:type="auto" w:w="0"/>
        <w:jc w:val="left"/>
        <w:tblLayout w:type="fixed"/>
        <w:tblLook w:firstColumn="1" w:firstRow="1" w:lastColumn="0" w:lastRow="0" w:noHBand="0" w:noVBand="1" w:val="04A0"/>
      </w:tblPr>
      <w:tblGrid>
        <w:gridCol w:w="941"/>
        <w:gridCol w:w="3496"/>
        <w:gridCol w:w="740"/>
        <w:gridCol w:w="740"/>
        <w:gridCol w:w="3496"/>
      </w:tblGrid>
      <w:tr>
        <w:tc>
          <w:tcPr>
            <w:tcW w:type="dxa" w:w="941"/>
            <w:shd w:val="clear" w:color="auto" w:fill="F2FBF7"/>
            <w:tcBorders>
              <w:bottom w:val="single" w:sz="6" w:space="0" w:color="C9DBD3"/>
            </w:tcBorders>
          </w:tcPr>
          <w:p>
            <w:r>
              <w:rPr>
                <w:b/>
                <w:i w:val="0"/>
                <w:color w:val="0C2317"/>
                <w:sz w:val="16"/>
              </w:rPr>
              <w:t>ID</w:t>
            </w:r>
          </w:p>
        </w:tc>
        <w:tc>
          <w:tcPr>
            <w:tcW w:type="dxa" w:w="3496"/>
            <w:shd w:val="clear" w:color="auto" w:fill="F2FBF7"/>
            <w:tcBorders>
              <w:bottom w:val="single" w:sz="6" w:space="0" w:color="C9DBD3"/>
            </w:tcBorders>
          </w:tcPr>
          <w:p>
            <w:r>
              <w:rPr>
                <w:b/>
                <w:i w:val="0"/>
                <w:color w:val="0C2317"/>
                <w:sz w:val="16"/>
              </w:rPr>
              <w:t>Scénario opérationnel</w:t>
            </w:r>
          </w:p>
        </w:tc>
        <w:tc>
          <w:tcPr>
            <w:tcW w:type="dxa" w:w="740"/>
            <w:shd w:val="clear" w:color="auto" w:fill="F2FBF7"/>
            <w:tcBorders>
              <w:bottom w:val="single" w:sz="6" w:space="0" w:color="C9DBD3"/>
            </w:tcBorders>
          </w:tcPr>
          <w:p>
            <w:pPr>
              <w:jc w:val="right"/>
            </w:pPr>
            <w:r>
              <w:rPr>
                <w:b/>
                <w:i w:val="0"/>
                <w:color w:val="0C2317"/>
                <w:sz w:val="16"/>
              </w:rPr>
              <w:t>G</w:t>
            </w:r>
          </w:p>
        </w:tc>
        <w:tc>
          <w:tcPr>
            <w:tcW w:type="dxa" w:w="740"/>
            <w:shd w:val="clear" w:color="auto" w:fill="F2FBF7"/>
            <w:tcBorders>
              <w:bottom w:val="single" w:sz="6" w:space="0" w:color="C9DBD3"/>
            </w:tcBorders>
          </w:tcPr>
          <w:p>
            <w:pPr>
              <w:jc w:val="right"/>
            </w:pPr>
            <w:r>
              <w:rPr>
                <w:b/>
                <w:i w:val="0"/>
                <w:color w:val="0C2317"/>
                <w:sz w:val="16"/>
              </w:rPr>
              <w:t>V</w:t>
            </w:r>
          </w:p>
        </w:tc>
        <w:tc>
          <w:tcPr>
            <w:tcW w:type="dxa" w:w="3496"/>
            <w:shd w:val="clear" w:color="auto" w:fill="F2FBF7"/>
            <w:tcBorders>
              <w:bottom w:val="single" w:sz="6" w:space="0" w:color="C9DBD3"/>
            </w:tcBorders>
          </w:tcPr>
          <w:p>
            <w:r>
              <w:rPr>
                <w:b/>
                <w:i w:val="0"/>
                <w:color w:val="0C2317"/>
                <w:sz w:val="16"/>
              </w:rPr>
              <w:t>Mesure d'atténuation</w:t>
            </w:r>
          </w:p>
        </w:tc>
      </w:tr>
      <w:tr>
        <w:tc>
          <w:tcPr>
            <w:tcW w:type="dxa" w:w="941"/>
            <w:tcBorders>
              <w:bottom w:val="single" w:sz="4" w:space="0" w:color="DFE7E3"/>
            </w:tcBorders>
          </w:tcPr>
          <w:p>
            <w:r>
              <w:rPr>
                <w:b w:val="0"/>
                <w:i w:val="0"/>
                <w:color w:val="33403B"/>
                <w:sz w:val="18"/>
              </w:rPr>
              <w:t>SO-01</w:t>
            </w:r>
          </w:p>
        </w:tc>
        <w:tc>
          <w:tcPr>
            <w:tcW w:type="dxa" w:w="3496"/>
            <w:tcBorders>
              <w:bottom w:val="single" w:sz="4" w:space="0" w:color="DFE7E3"/>
            </w:tcBorders>
          </w:tcPr>
          <w:p>
            <w:r>
              <w:rPr>
                <w:b w:val="0"/>
                <w:i w:val="0"/>
                <w:color w:val="33403B"/>
                <w:sz w:val="18"/>
              </w:rPr>
              <w:t>Mise à jour piégée du core banking (BS-01) livrée par l'éditeur → exécution en production → accès aux comptes clients (VM-01) et altération des soldes.</w:t>
            </w:r>
          </w:p>
        </w:tc>
        <w:tc>
          <w:tcPr>
            <w:tcW w:type="dxa" w:w="740"/>
            <w:tcBorders>
              <w:bottom w:val="single" w:sz="4" w:space="0" w:color="DFE7E3"/>
            </w:tcBorders>
          </w:tcPr>
          <w:p>
            <w:pPr>
              <w:jc w:val="right"/>
            </w:pPr>
            <w:r>
              <w:rPr>
                <w:b w:val="0"/>
                <w:i w:val="0"/>
                <w:color w:val="33403B"/>
                <w:sz w:val="18"/>
              </w:rPr>
              <w:t>4/4</w:t>
            </w:r>
          </w:p>
        </w:tc>
        <w:tc>
          <w:tcPr>
            <w:tcW w:type="dxa" w:w="740"/>
            <w:tcBorders>
              <w:bottom w:val="single" w:sz="4" w:space="0" w:color="DFE7E3"/>
            </w:tcBorders>
          </w:tcPr>
          <w:p>
            <w:pPr>
              <w:jc w:val="right"/>
            </w:pPr>
            <w:r>
              <w:rPr>
                <w:b w:val="0"/>
                <w:i w:val="0"/>
                <w:color w:val="33403B"/>
                <w:sz w:val="18"/>
              </w:rPr>
              <w:t>2/5</w:t>
            </w:r>
          </w:p>
        </w:tc>
        <w:tc>
          <w:tcPr>
            <w:tcW w:type="dxa" w:w="3496"/>
            <w:tcBorders>
              <w:bottom w:val="single" w:sz="4" w:space="0" w:color="DFE7E3"/>
            </w:tcBorders>
          </w:tcPr>
          <w:p>
            <w:r>
              <w:rPr>
                <w:b w:val="0"/>
                <w:i w:val="0"/>
                <w:color w:val="33403B"/>
                <w:sz w:val="18"/>
              </w:rPr>
              <w:t>Vérification d'intégrité des livraisons éditeur, environnement de pré-production isolé, revue de code des correctifs critiques.</w:t>
            </w:r>
          </w:p>
        </w:tc>
      </w:tr>
      <w:tr>
        <w:tc>
          <w:tcPr>
            <w:tcW w:type="dxa" w:w="941"/>
            <w:tcBorders>
              <w:bottom w:val="single" w:sz="4" w:space="0" w:color="DFE7E3"/>
            </w:tcBorders>
          </w:tcPr>
          <w:p>
            <w:r>
              <w:rPr>
                <w:b w:val="0"/>
                <w:i w:val="0"/>
                <w:color w:val="33403B"/>
                <w:sz w:val="18"/>
              </w:rPr>
              <w:t>SO-02</w:t>
            </w:r>
          </w:p>
        </w:tc>
        <w:tc>
          <w:tcPr>
            <w:tcW w:type="dxa" w:w="3496"/>
            <w:tcBorders>
              <w:bottom w:val="single" w:sz="4" w:space="0" w:color="DFE7E3"/>
            </w:tcBorders>
          </w:tcPr>
          <w:p>
            <w:r>
              <w:rPr>
                <w:b w:val="0"/>
                <w:i w:val="0"/>
                <w:color w:val="33403B"/>
                <w:sz w:val="18"/>
              </w:rPr>
              <w:t>Saturation volumétrique de la plateforme SCT Inst (BS-02) via l'interconnexion STET → indisponibilité de la fonction critique DORA.</w:t>
            </w:r>
          </w:p>
        </w:tc>
        <w:tc>
          <w:tcPr>
            <w:tcW w:type="dxa" w:w="740"/>
            <w:tcBorders>
              <w:bottom w:val="single" w:sz="4" w:space="0" w:color="DFE7E3"/>
            </w:tcBorders>
          </w:tcPr>
          <w:p>
            <w:pPr>
              <w:jc w:val="right"/>
            </w:pPr>
            <w:r>
              <w:rPr>
                <w:b w:val="0"/>
                <w:i w:val="0"/>
                <w:color w:val="33403B"/>
                <w:sz w:val="18"/>
              </w:rPr>
              <w:t>4/4</w:t>
            </w:r>
          </w:p>
        </w:tc>
        <w:tc>
          <w:tcPr>
            <w:tcW w:type="dxa" w:w="740"/>
            <w:tcBorders>
              <w:bottom w:val="single" w:sz="4" w:space="0" w:color="DFE7E3"/>
            </w:tcBorders>
          </w:tcPr>
          <w:p>
            <w:pPr>
              <w:jc w:val="right"/>
            </w:pPr>
            <w:r>
              <w:rPr>
                <w:b w:val="0"/>
                <w:i w:val="0"/>
                <w:color w:val="33403B"/>
                <w:sz w:val="18"/>
              </w:rPr>
              <w:t>3/5</w:t>
            </w:r>
          </w:p>
        </w:tc>
        <w:tc>
          <w:tcPr>
            <w:tcW w:type="dxa" w:w="3496"/>
            <w:tcBorders>
              <w:bottom w:val="single" w:sz="4" w:space="0" w:color="DFE7E3"/>
            </w:tcBorders>
          </w:tcPr>
          <w:p>
            <w:r>
              <w:rPr>
                <w:b w:val="0"/>
                <w:i w:val="0"/>
                <w:color w:val="33403B"/>
                <w:sz w:val="18"/>
              </w:rPr>
              <w:t>Limitation de débit en amont, bascule sur le site de repli testée trimestriellement, procédure de dégradation maîtrisée.</w:t>
            </w:r>
          </w:p>
        </w:tc>
      </w:tr>
    </w:tbl>
    <w:p/>
    <w:p>
      <w:pPr>
        <w:spacing w:before="200" w:after="40"/>
      </w:pPr>
      <w:r>
        <w:rPr>
          <w:b/>
          <w:i w:val="0"/>
          <w:color w:val="0C2317"/>
          <w:sz w:val="21"/>
        </w:rPr>
        <w:t>5.4 Cas réels versés au dossier</w:t>
      </w:r>
    </w:p>
    <w:tbl>
      <w:tblPr>
        <w:tblW w:type="auto" w:w="0"/>
        <w:jc w:val="left"/>
        <w:tblLayout w:type="fixed"/>
        <w:tblLook w:firstColumn="1" w:firstRow="1" w:lastColumn="0" w:lastRow="0" w:noHBand="0" w:noVBand="1" w:val="04A0"/>
      </w:tblPr>
      <w:tblGrid>
        <w:gridCol w:w="3012"/>
        <w:gridCol w:w="6400"/>
      </w:tblGrid>
      <w:tr>
        <w:tc>
          <w:tcPr>
            <w:tcW w:type="dxa" w:w="3012"/>
            <w:shd w:val="clear" w:color="auto" w:fill="F2FBF7"/>
            <w:tcBorders>
              <w:bottom w:val="single" w:sz="6" w:space="0" w:color="C9DBD3"/>
            </w:tcBorders>
          </w:tcPr>
          <w:p>
            <w:r>
              <w:rPr>
                <w:b/>
                <w:i w:val="0"/>
                <w:color w:val="0C2317"/>
                <w:sz w:val="16"/>
              </w:rPr>
              <w:t>Cas réel</w:t>
            </w:r>
          </w:p>
        </w:tc>
        <w:tc>
          <w:tcPr>
            <w:tcW w:type="dxa" w:w="6400"/>
            <w:shd w:val="clear" w:color="auto" w:fill="F2FBF7"/>
            <w:tcBorders>
              <w:bottom w:val="single" w:sz="6" w:space="0" w:color="C9DBD3"/>
            </w:tcBorders>
          </w:tcPr>
          <w:p>
            <w:r>
              <w:rPr>
                <w:b/>
                <w:i w:val="0"/>
                <w:color w:val="0C2317"/>
                <w:sz w:val="16"/>
              </w:rPr>
              <w:t>Enseignement retenu pour ce client</w:t>
            </w:r>
          </w:p>
        </w:tc>
      </w:tr>
      <w:tr>
        <w:tc>
          <w:tcPr>
            <w:tcW w:type="dxa" w:w="3012"/>
            <w:tcBorders>
              <w:bottom w:val="single" w:sz="4" w:space="0" w:color="DFE7E3"/>
            </w:tcBorders>
          </w:tcPr>
          <w:p>
            <w:r>
              <w:rPr>
                <w:b w:val="0"/>
                <w:i w:val="0"/>
                <w:color w:val="33403B"/>
                <w:sz w:val="18"/>
              </w:rPr>
              <w:t>Incident SolarWinds (2020)</w:t>
            </w:r>
          </w:p>
        </w:tc>
        <w:tc>
          <w:tcPr>
            <w:tcW w:type="dxa" w:w="6400"/>
            <w:tcBorders>
              <w:bottom w:val="single" w:sz="4" w:space="0" w:color="DFE7E3"/>
            </w:tcBorders>
          </w:tcPr>
          <w:p>
            <w:r>
              <w:rPr>
                <w:b w:val="0"/>
                <w:i w:val="0"/>
                <w:color w:val="33403B"/>
                <w:sz w:val="18"/>
              </w:rPr>
              <w:t>La chaîne d'approvisionnement logicielle est un vecteur d'entrée légitime et signé — d'où l'exigence DORA de registre des prestataires.</w:t>
            </w:r>
          </w:p>
        </w:tc>
      </w:tr>
      <w:tr>
        <w:tc>
          <w:tcPr>
            <w:tcW w:type="dxa" w:w="3012"/>
            <w:tcBorders>
              <w:bottom w:val="single" w:sz="4" w:space="0" w:color="DFE7E3"/>
            </w:tcBorders>
          </w:tcPr>
          <w:p>
            <w:r>
              <w:rPr>
                <w:b w:val="0"/>
                <w:i w:val="0"/>
                <w:color w:val="33403B"/>
                <w:sz w:val="18"/>
              </w:rPr>
              <w:t>Panne TSB (2018) — migration bancaire</w:t>
            </w:r>
          </w:p>
        </w:tc>
        <w:tc>
          <w:tcPr>
            <w:tcW w:type="dxa" w:w="6400"/>
            <w:tcBorders>
              <w:bottom w:val="single" w:sz="4" w:space="0" w:color="DFE7E3"/>
            </w:tcBorders>
          </w:tcPr>
          <w:p>
            <w:r>
              <w:rPr>
                <w:b w:val="0"/>
                <w:i w:val="0"/>
                <w:color w:val="33403B"/>
                <w:sz w:val="18"/>
              </w:rPr>
              <w:t>Une bascule mal testée coûte plus cher qu'une attaque : le test de bascule est une exigence, pas une bonne pratique.</w:t>
            </w:r>
          </w:p>
        </w:tc>
      </w:tr>
    </w:tbl>
    <w:p/>
    <w:p>
      <w:pPr>
        <w:spacing w:before="400" w:after="160"/>
        <w:pBdr>
          <w:bottom w:val="single" w:sz="16" w:space="4" w:color="2EE6A0"/>
        </w:pBdr>
      </w:pPr>
      <w:r>
        <w:rPr>
          <w:b/>
          <w:i w:val="0"/>
          <w:color w:val="2EE6A0"/>
          <w:sz w:val="28"/>
        </w:rPr>
        <w:t xml:space="preserve">6. </w:t>
      </w:r>
      <w:r>
        <w:rPr>
          <w:b/>
          <w:i w:val="0"/>
          <w:color w:val="0C2317"/>
          <w:sz w:val="28"/>
        </w:rPr>
        <w:t>Écosystème et risques tiers</w:t>
      </w:r>
    </w:p>
    <w:p>
      <w:r>
        <w:rPr>
          <w:b w:val="0"/>
          <w:i w:val="0"/>
          <w:color w:val="6B7F78"/>
          <w:sz w:val="18"/>
        </w:rPr>
        <w:t>Ce volet ne produit aucun score de risque : ni DORA ni NIS2 ne se réclament d'EBIOS RM. La conformité se démontre par des preuves.</w:t>
      </w:r>
    </w:p>
    <w:tbl>
      <w:tblPr>
        <w:tblW w:type="auto" w:w="0"/>
        <w:jc w:val="left"/>
        <w:tblLayout w:type="fixed"/>
        <w:tblLook w:firstColumn="1" w:firstRow="1" w:lastColumn="0" w:lastRow="0" w:noHBand="0" w:noVBand="1" w:val="04A0"/>
      </w:tblPr>
      <w:tblGrid>
        <w:gridCol w:w="3080"/>
        <w:gridCol w:w="2567"/>
        <w:gridCol w:w="3765"/>
      </w:tblGrid>
      <w:tr>
        <w:tc>
          <w:tcPr>
            <w:tcW w:type="dxa" w:w="3080"/>
            <w:shd w:val="clear" w:color="auto" w:fill="F2FBF7"/>
            <w:tcBorders>
              <w:bottom w:val="single" w:sz="6" w:space="0" w:color="C9DBD3"/>
            </w:tcBorders>
          </w:tcPr>
          <w:p>
            <w:r>
              <w:rPr>
                <w:b/>
                <w:i w:val="0"/>
                <w:color w:val="0C2317"/>
                <w:sz w:val="16"/>
              </w:rPr>
              <w:t>Prestataire</w:t>
            </w:r>
          </w:p>
        </w:tc>
        <w:tc>
          <w:tcPr>
            <w:tcW w:type="dxa" w:w="2567"/>
            <w:shd w:val="clear" w:color="auto" w:fill="F2FBF7"/>
            <w:tcBorders>
              <w:bottom w:val="single" w:sz="6" w:space="0" w:color="C9DBD3"/>
            </w:tcBorders>
          </w:tcPr>
          <w:p>
            <w:pPr>
              <w:jc w:val="right"/>
            </w:pPr>
            <w:r>
              <w:rPr>
                <w:b/>
                <w:i w:val="0"/>
                <w:color w:val="0C2317"/>
                <w:sz w:val="16"/>
              </w:rPr>
              <w:t>Exigences satisfaites</w:t>
            </w:r>
          </w:p>
        </w:tc>
        <w:tc>
          <w:tcPr>
            <w:tcW w:type="dxa" w:w="3765"/>
            <w:shd w:val="clear" w:color="auto" w:fill="F2FBF7"/>
            <w:tcBorders>
              <w:bottom w:val="single" w:sz="6" w:space="0" w:color="C9DBD3"/>
            </w:tcBorders>
          </w:tcPr>
          <w:p>
            <w:r>
              <w:rPr>
                <w:b/>
                <w:i w:val="0"/>
                <w:color w:val="0C2317"/>
                <w:sz w:val="16"/>
              </w:rPr>
              <w:t>Écarts restants</w:t>
            </w:r>
          </w:p>
        </w:tc>
      </w:tr>
      <w:tr>
        <w:tc>
          <w:tcPr>
            <w:tcW w:type="dxa" w:w="3080"/>
            <w:tcBorders>
              <w:bottom w:val="single" w:sz="4" w:space="0" w:color="DFE7E3"/>
            </w:tcBorders>
          </w:tcPr>
          <w:p>
            <w:r>
              <w:rPr>
                <w:b w:val="0"/>
                <w:i w:val="0"/>
                <w:color w:val="33403B"/>
                <w:sz w:val="18"/>
              </w:rPr>
              <w:t>Éditeur core banking (prestataire critique)</w:t>
            </w:r>
          </w:p>
        </w:tc>
        <w:tc>
          <w:tcPr>
            <w:tcW w:type="dxa" w:w="2567"/>
            <w:tcBorders>
              <w:bottom w:val="single" w:sz="4" w:space="0" w:color="DFE7E3"/>
            </w:tcBorders>
          </w:tcPr>
          <w:p>
            <w:pPr>
              <w:jc w:val="right"/>
            </w:pPr>
            <w:r>
              <w:rPr>
                <w:b w:val="0"/>
                <w:i w:val="0"/>
                <w:color w:val="33403B"/>
                <w:sz w:val="18"/>
              </w:rPr>
              <w:t>2/4 (50 %)</w:t>
            </w:r>
          </w:p>
        </w:tc>
        <w:tc>
          <w:tcPr>
            <w:tcW w:type="dxa" w:w="3765"/>
            <w:tcBorders>
              <w:bottom w:val="single" w:sz="4" w:space="0" w:color="DFE7E3"/>
            </w:tcBorders>
          </w:tcPr>
          <w:p>
            <w:r>
              <w:rPr>
                <w:b w:val="0"/>
                <w:i w:val="0"/>
                <w:color w:val="33403B"/>
                <w:sz w:val="18"/>
              </w:rPr>
              <w:t>Clauses contractuelles obligatoires signées (DORA Art. 30) ; Stratégie de sortie documentée et testable</w:t>
            </w:r>
          </w:p>
        </w:tc>
      </w:tr>
      <w:tr>
        <w:tc>
          <w:tcPr>
            <w:tcW w:type="dxa" w:w="3080"/>
            <w:tcBorders>
              <w:bottom w:val="single" w:sz="4" w:space="0" w:color="DFE7E3"/>
            </w:tcBorders>
          </w:tcPr>
          <w:p>
            <w:r>
              <w:rPr>
                <w:b w:val="0"/>
                <w:i w:val="0"/>
                <w:color w:val="33403B"/>
                <w:sz w:val="18"/>
              </w:rPr>
              <w:t>Opérateur d'interconnexion STET</w:t>
            </w:r>
          </w:p>
        </w:tc>
        <w:tc>
          <w:tcPr>
            <w:tcW w:type="dxa" w:w="2567"/>
            <w:tcBorders>
              <w:bottom w:val="single" w:sz="4" w:space="0" w:color="DFE7E3"/>
            </w:tcBorders>
          </w:tcPr>
          <w:p>
            <w:pPr>
              <w:jc w:val="right"/>
            </w:pPr>
            <w:r>
              <w:rPr>
                <w:b w:val="0"/>
                <w:i w:val="0"/>
                <w:color w:val="33403B"/>
                <w:sz w:val="18"/>
              </w:rPr>
              <w:t>4/4 (100 %)</w:t>
            </w:r>
          </w:p>
        </w:tc>
        <w:tc>
          <w:tcPr>
            <w:tcW w:type="dxa" w:w="3765"/>
            <w:tcBorders>
              <w:bottom w:val="single" w:sz="4" w:space="0" w:color="DFE7E3"/>
            </w:tcBorders>
          </w:tcPr>
          <w:p>
            <w:r>
              <w:rPr>
                <w:b w:val="0"/>
                <w:i w:val="0"/>
                <w:color w:val="33403B"/>
                <w:sz w:val="18"/>
              </w:rPr>
              <w:t>Conforme</w:t>
            </w:r>
          </w:p>
        </w:tc>
      </w:tr>
      <w:tr>
        <w:tc>
          <w:tcPr>
            <w:tcW w:type="dxa" w:w="3080"/>
            <w:tcBorders>
              <w:bottom w:val="single" w:sz="4" w:space="0" w:color="DFE7E3"/>
            </w:tcBorders>
          </w:tcPr>
          <w:p>
            <w:r>
              <w:rPr>
                <w:b w:val="0"/>
                <w:i w:val="0"/>
                <w:color w:val="33403B"/>
                <w:sz w:val="18"/>
              </w:rPr>
              <w:t>Hébergeur du site de repli</w:t>
            </w:r>
          </w:p>
        </w:tc>
        <w:tc>
          <w:tcPr>
            <w:tcW w:type="dxa" w:w="2567"/>
            <w:tcBorders>
              <w:bottom w:val="single" w:sz="4" w:space="0" w:color="DFE7E3"/>
            </w:tcBorders>
          </w:tcPr>
          <w:p>
            <w:pPr>
              <w:jc w:val="right"/>
            </w:pPr>
            <w:r>
              <w:rPr>
                <w:b w:val="0"/>
                <w:i w:val="0"/>
                <w:color w:val="33403B"/>
                <w:sz w:val="18"/>
              </w:rPr>
              <w:t>0/4 (0 %)</w:t>
            </w:r>
          </w:p>
        </w:tc>
        <w:tc>
          <w:tcPr>
            <w:tcW w:type="dxa" w:w="3765"/>
            <w:tcBorders>
              <w:bottom w:val="single" w:sz="4" w:space="0" w:color="DFE7E3"/>
            </w:tcBorders>
          </w:tcPr>
          <w:p>
            <w:r>
              <w:rPr>
                <w:b w:val="0"/>
                <w:i w:val="0"/>
                <w:color w:val="33403B"/>
                <w:sz w:val="18"/>
              </w:rPr>
              <w:t>Inscrit au registre d'information (DORA Art. 28.3) ; Clauses contractuelles obligatoires signées (DORA Art. 30) ; Stratégie de sortie documentée et testable ; Évaluation réalisée avant acquisition (NIST ID.RA-10)</w:t>
            </w:r>
          </w:p>
        </w:tc>
      </w:tr>
      <w:tr>
        <w:tc>
          <w:tcPr>
            <w:tcW w:type="dxa" w:w="3080"/>
            <w:tcBorders>
              <w:bottom w:val="single" w:sz="4" w:space="0" w:color="DFE7E3"/>
            </w:tcBorders>
          </w:tcPr>
          <w:p>
            <w:r>
              <w:rPr>
                <w:b w:val="0"/>
                <w:i w:val="0"/>
                <w:color w:val="33403B"/>
                <w:sz w:val="18"/>
              </w:rPr>
              <w:t>Prestataire d'infogérance poste de travail</w:t>
            </w:r>
          </w:p>
        </w:tc>
        <w:tc>
          <w:tcPr>
            <w:tcW w:type="dxa" w:w="2567"/>
            <w:tcBorders>
              <w:bottom w:val="single" w:sz="4" w:space="0" w:color="DFE7E3"/>
            </w:tcBorders>
          </w:tcPr>
          <w:p>
            <w:pPr>
              <w:jc w:val="right"/>
            </w:pPr>
            <w:r>
              <w:rPr>
                <w:b w:val="0"/>
                <w:i w:val="0"/>
                <w:color w:val="33403B"/>
                <w:sz w:val="18"/>
              </w:rPr>
              <w:t>0/4 (0 %)</w:t>
            </w:r>
          </w:p>
        </w:tc>
        <w:tc>
          <w:tcPr>
            <w:tcW w:type="dxa" w:w="3765"/>
            <w:tcBorders>
              <w:bottom w:val="single" w:sz="4" w:space="0" w:color="DFE7E3"/>
            </w:tcBorders>
          </w:tcPr>
          <w:p>
            <w:r>
              <w:rPr>
                <w:b w:val="0"/>
                <w:i w:val="0"/>
                <w:color w:val="33403B"/>
                <w:sz w:val="18"/>
              </w:rPr>
              <w:t>Inscrit au registre d'information (DORA Art. 28.3) ; Clauses contractuelles obligatoires signées (DORA Art. 30) ; Stratégie de sortie documentée et testable ; Évaluation réalisée avant acquisition (NIST ID.RA-10)</w:t>
            </w:r>
          </w:p>
        </w:tc>
      </w:tr>
    </w:tbl>
    <w:p/>
    <w:p>
      <w:pPr>
        <w:spacing w:before="400" w:after="160"/>
        <w:pBdr>
          <w:bottom w:val="single" w:sz="16" w:space="4" w:color="2EE6A0"/>
        </w:pBdr>
      </w:pPr>
      <w:r>
        <w:rPr>
          <w:b/>
          <w:i w:val="0"/>
          <w:color w:val="2EE6A0"/>
          <w:sz w:val="28"/>
        </w:rPr>
        <w:t xml:space="preserve">7. </w:t>
      </w:r>
      <w:r>
        <w:rPr>
          <w:b/>
          <w:i w:val="0"/>
          <w:color w:val="0C2317"/>
          <w:sz w:val="28"/>
        </w:rPr>
        <w:t>Résilience et continuité</w:t>
      </w:r>
    </w:p>
    <w:p>
      <w:pPr>
        <w:spacing w:before="200" w:after="40"/>
      </w:pPr>
      <w:r>
        <w:rPr>
          <w:b/>
          <w:i w:val="0"/>
          <w:color w:val="0C2317"/>
          <w:sz w:val="21"/>
        </w:rPr>
        <w:t>7.1 Cibles de continuité</w:t>
      </w:r>
    </w:p>
    <w:tbl>
      <w:tblPr>
        <w:tblW w:type="auto" w:w="0"/>
        <w:jc w:val="left"/>
        <w:tblLayout w:type="fixed"/>
        <w:tblLook w:firstColumn="1" w:firstRow="1" w:lastColumn="0" w:lastRow="0" w:noHBand="0" w:noVBand="1" w:val="04A0"/>
      </w:tblPr>
      <w:tblGrid>
        <w:gridCol w:w="4706"/>
        <w:gridCol w:w="4706"/>
      </w:tblGrid>
      <w:tr>
        <w:tc>
          <w:tcPr>
            <w:tcW w:type="dxa" w:w="4706"/>
            <w:shd w:val="clear" w:color="auto" w:fill="F2FBF7"/>
            <w:tcBorders>
              <w:bottom w:val="single" w:sz="6" w:space="0" w:color="C9DBD3"/>
            </w:tcBorders>
          </w:tcPr>
          <w:p>
            <w:r>
              <w:rPr>
                <w:b/>
                <w:i w:val="0"/>
                <w:color w:val="0C2317"/>
                <w:sz w:val="16"/>
              </w:rPr>
              <w:t>Cible de continuité</w:t>
            </w:r>
          </w:p>
        </w:tc>
        <w:tc>
          <w:tcPr>
            <w:tcW w:type="dxa" w:w="4706"/>
            <w:shd w:val="clear" w:color="auto" w:fill="F2FBF7"/>
            <w:tcBorders>
              <w:bottom w:val="single" w:sz="6" w:space="0" w:color="C9DBD3"/>
            </w:tcBorders>
          </w:tcPr>
          <w:p>
            <w:r>
              <w:rPr>
                <w:b/>
                <w:i w:val="0"/>
                <w:color w:val="0C2317"/>
                <w:sz w:val="16"/>
              </w:rPr>
              <w:t>Valeur retenue</w:t>
            </w:r>
          </w:p>
        </w:tc>
      </w:tr>
      <w:tr>
        <w:tc>
          <w:tcPr>
            <w:tcW w:type="dxa" w:w="4706"/>
            <w:tcBorders>
              <w:bottom w:val="single" w:sz="4" w:space="0" w:color="DFE7E3"/>
            </w:tcBorders>
          </w:tcPr>
          <w:p>
            <w:r>
              <w:rPr>
                <w:b w:val="0"/>
                <w:i w:val="0"/>
                <w:color w:val="33403B"/>
                <w:sz w:val="18"/>
              </w:rPr>
              <w:t>RTO — durée maximale d'interruption admissible</w:t>
            </w:r>
          </w:p>
        </w:tc>
        <w:tc>
          <w:tcPr>
            <w:tcW w:type="dxa" w:w="4706"/>
            <w:tcBorders>
              <w:bottom w:val="single" w:sz="4" w:space="0" w:color="DFE7E3"/>
            </w:tcBorders>
          </w:tcPr>
          <w:p>
            <w:r>
              <w:rPr>
                <w:b w:val="0"/>
                <w:i w:val="0"/>
                <w:color w:val="33403B"/>
                <w:sz w:val="18"/>
              </w:rPr>
              <w:t>2 heures pour le paiement instantané (fonction critique DORA), 8 heures pour la banque en ligne</w:t>
            </w:r>
          </w:p>
        </w:tc>
      </w:tr>
      <w:tr>
        <w:tc>
          <w:tcPr>
            <w:tcW w:type="dxa" w:w="4706"/>
            <w:tcBorders>
              <w:bottom w:val="single" w:sz="4" w:space="0" w:color="DFE7E3"/>
            </w:tcBorders>
          </w:tcPr>
          <w:p>
            <w:r>
              <w:rPr>
                <w:b w:val="0"/>
                <w:i w:val="0"/>
                <w:color w:val="33403B"/>
                <w:sz w:val="18"/>
              </w:rPr>
              <w:t>RPO — perte de données maximale admissible</w:t>
            </w:r>
          </w:p>
        </w:tc>
        <w:tc>
          <w:tcPr>
            <w:tcW w:type="dxa" w:w="4706"/>
            <w:tcBorders>
              <w:bottom w:val="single" w:sz="4" w:space="0" w:color="DFE7E3"/>
            </w:tcBorders>
          </w:tcPr>
          <w:p>
            <w:r>
              <w:rPr>
                <w:b w:val="0"/>
                <w:i w:val="0"/>
                <w:color w:val="33403B"/>
                <w:sz w:val="18"/>
              </w:rPr>
              <w:t>15 minutes pour les opérations de paiement, 1 heure pour les référentiels clients</w:t>
            </w:r>
          </w:p>
        </w:tc>
      </w:tr>
      <w:tr>
        <w:tc>
          <w:tcPr>
            <w:tcW w:type="dxa" w:w="4706"/>
            <w:tcBorders>
              <w:bottom w:val="single" w:sz="4" w:space="0" w:color="DFE7E3"/>
            </w:tcBorders>
          </w:tcPr>
          <w:p>
            <w:r>
              <w:rPr>
                <w:b w:val="0"/>
                <w:i w:val="0"/>
                <w:color w:val="33403B"/>
                <w:sz w:val="18"/>
              </w:rPr>
              <w:t>Politique de sauvegarde</w:t>
            </w:r>
          </w:p>
        </w:tc>
        <w:tc>
          <w:tcPr>
            <w:tcW w:type="dxa" w:w="4706"/>
            <w:tcBorders>
              <w:bottom w:val="single" w:sz="4" w:space="0" w:color="DFE7E3"/>
            </w:tcBorders>
          </w:tcPr>
          <w:p>
            <w:r>
              <w:rPr>
                <w:b w:val="0"/>
                <w:i w:val="0"/>
                <w:color w:val="33403B"/>
                <w:sz w:val="18"/>
              </w:rPr>
              <w:t>Réplication synchrone entre les deux datacenters, sauvegarde immuable quotidienne conservée 35 jours hors site, test de bascule complet trimestriel avec procès-verbal transmis à l'ACPR.</w:t>
            </w:r>
          </w:p>
        </w:tc>
      </w:tr>
    </w:tbl>
    <w:p/>
    <w:p>
      <w:pPr>
        <w:spacing w:before="200" w:after="40"/>
      </w:pPr>
      <w:r>
        <w:rPr>
          <w:b/>
          <w:i w:val="0"/>
          <w:color w:val="0C2317"/>
          <w:sz w:val="21"/>
        </w:rPr>
        <w:t>7.2 Séquence de remédiation E3R (ANSSI)</w:t>
      </w:r>
    </w:p>
    <w:tbl>
      <w:tblPr>
        <w:tblW w:type="auto" w:w="0"/>
        <w:jc w:val="left"/>
        <w:tblLayout w:type="fixed"/>
        <w:tblLook w:firstColumn="1" w:firstRow="1" w:lastColumn="0" w:lastRow="0" w:noHBand="0" w:noVBand="1" w:val="04A0"/>
      </w:tblPr>
      <w:tblGrid>
        <w:gridCol w:w="2928"/>
        <w:gridCol w:w="6484"/>
      </w:tblGrid>
      <w:tr>
        <w:tc>
          <w:tcPr>
            <w:tcW w:type="dxa" w:w="2928"/>
            <w:shd w:val="clear" w:color="auto" w:fill="F2FBF7"/>
            <w:tcBorders>
              <w:bottom w:val="single" w:sz="6" w:space="0" w:color="C9DBD3"/>
            </w:tcBorders>
          </w:tcPr>
          <w:p>
            <w:r>
              <w:rPr>
                <w:b/>
                <w:i w:val="0"/>
                <w:color w:val="0C2317"/>
                <w:sz w:val="16"/>
              </w:rPr>
              <w:t>Étape E3R</w:t>
            </w:r>
          </w:p>
        </w:tc>
        <w:tc>
          <w:tcPr>
            <w:tcW w:type="dxa" w:w="6484"/>
            <w:shd w:val="clear" w:color="auto" w:fill="F2FBF7"/>
            <w:tcBorders>
              <w:bottom w:val="single" w:sz="6" w:space="0" w:color="C9DBD3"/>
            </w:tcBorders>
          </w:tcPr>
          <w:p>
            <w:r>
              <w:rPr>
                <w:b/>
                <w:i w:val="0"/>
                <w:color w:val="0C2317"/>
                <w:sz w:val="16"/>
              </w:rPr>
              <w:t>Procédure retenue</w:t>
            </w:r>
          </w:p>
        </w:tc>
      </w:tr>
      <w:tr>
        <w:tc>
          <w:tcPr>
            <w:tcW w:type="dxa" w:w="2928"/>
            <w:tcBorders>
              <w:bottom w:val="single" w:sz="4" w:space="0" w:color="DFE7E3"/>
            </w:tcBorders>
          </w:tcPr>
          <w:p>
            <w:r>
              <w:rPr>
                <w:b w:val="0"/>
                <w:i w:val="0"/>
                <w:color w:val="33403B"/>
                <w:sz w:val="18"/>
              </w:rPr>
              <w:t>Endiguement</w:t>
            </w:r>
          </w:p>
        </w:tc>
        <w:tc>
          <w:tcPr>
            <w:tcW w:type="dxa" w:w="6484"/>
            <w:tcBorders>
              <w:bottom w:val="single" w:sz="4" w:space="0" w:color="DFE7E3"/>
            </w:tcBorders>
          </w:tcPr>
          <w:p>
            <w:r>
              <w:rPr>
                <w:b w:val="0"/>
                <w:i w:val="0"/>
                <w:color w:val="33403B"/>
                <w:sz w:val="18"/>
              </w:rPr>
              <w:t>Isolement de la zone compromise par bascule sur le site de repli, gel des livraisons éditeur, activation de la cellule de crise avec astreinte RSSI sous 30 minutes.</w:t>
            </w:r>
          </w:p>
        </w:tc>
      </w:tr>
      <w:tr>
        <w:tc>
          <w:tcPr>
            <w:tcW w:type="dxa" w:w="2928"/>
            <w:tcBorders>
              <w:bottom w:val="single" w:sz="4" w:space="0" w:color="DFE7E3"/>
            </w:tcBorders>
          </w:tcPr>
          <w:p>
            <w:r>
              <w:rPr>
                <w:b w:val="0"/>
                <w:i w:val="0"/>
                <w:color w:val="33403B"/>
                <w:sz w:val="18"/>
              </w:rPr>
              <w:t>Éviction</w:t>
            </w:r>
          </w:p>
        </w:tc>
        <w:tc>
          <w:tcPr>
            <w:tcW w:type="dxa" w:w="6484"/>
            <w:tcBorders>
              <w:bottom w:val="single" w:sz="4" w:space="0" w:color="DFE7E3"/>
            </w:tcBorders>
          </w:tcPr>
          <w:p>
            <w:r>
              <w:rPr>
                <w:b w:val="0"/>
                <w:i w:val="0"/>
                <w:color w:val="33403B"/>
                <w:sz w:val="18"/>
              </w:rPr>
              <w:t>Révocation des certificats et jetons d'interconnexion, réinitialisation des comptes à privilèges et des comptes de service, rupture temporaire du lien avec l'éditeur.</w:t>
            </w:r>
          </w:p>
        </w:tc>
      </w:tr>
      <w:tr>
        <w:tc>
          <w:tcPr>
            <w:tcW w:type="dxa" w:w="2928"/>
            <w:tcBorders>
              <w:bottom w:val="single" w:sz="4" w:space="0" w:color="DFE7E3"/>
            </w:tcBorders>
          </w:tcPr>
          <w:p>
            <w:r>
              <w:rPr>
                <w:b w:val="0"/>
                <w:i w:val="0"/>
                <w:color w:val="33403B"/>
                <w:sz w:val="18"/>
              </w:rPr>
              <w:t>Éradication</w:t>
            </w:r>
          </w:p>
        </w:tc>
        <w:tc>
          <w:tcPr>
            <w:tcW w:type="dxa" w:w="6484"/>
            <w:tcBorders>
              <w:bottom w:val="single" w:sz="4" w:space="0" w:color="DFE7E3"/>
            </w:tcBorders>
          </w:tcPr>
          <w:p>
            <w:r>
              <w:rPr>
                <w:b w:val="0"/>
                <w:i w:val="0"/>
                <w:color w:val="33403B"/>
                <w:sz w:val="18"/>
              </w:rPr>
              <w:t>Analyse forensique des binaires livrés, comparaison aux empreintes de référence, reconstruction des serveurs concernés depuis un socle durci vérifié.</w:t>
            </w:r>
          </w:p>
        </w:tc>
      </w:tr>
      <w:tr>
        <w:tc>
          <w:tcPr>
            <w:tcW w:type="dxa" w:w="2928"/>
            <w:tcBorders>
              <w:bottom w:val="single" w:sz="4" w:space="0" w:color="DFE7E3"/>
            </w:tcBorders>
          </w:tcPr>
          <w:p>
            <w:r>
              <w:rPr>
                <w:b w:val="0"/>
                <w:i w:val="0"/>
                <w:color w:val="33403B"/>
                <w:sz w:val="18"/>
              </w:rPr>
              <w:t>Reconstruction</w:t>
            </w:r>
          </w:p>
        </w:tc>
        <w:tc>
          <w:tcPr>
            <w:tcW w:type="dxa" w:w="6484"/>
            <w:tcBorders>
              <w:bottom w:val="single" w:sz="4" w:space="0" w:color="DFE7E3"/>
            </w:tcBorders>
          </w:tcPr>
          <w:p>
            <w:r>
              <w:rPr>
                <w:b w:val="0"/>
                <w:i w:val="0"/>
                <w:color w:val="33403B"/>
                <w:sz w:val="18"/>
              </w:rPr>
              <w:t>Remise en service progressive avec vérification d'intégrité comptable poste par poste, réconciliation des opérations sur la période suspecte, notification ACPR de clôture d'incident et retour d'expérience sous 30 jours.</w:t>
            </w:r>
          </w:p>
        </w:tc>
      </w:tr>
    </w:tbl>
    <w:p/>
    <w:p>
      <w:pPr>
        <w:spacing w:before="200" w:after="40"/>
      </w:pPr>
      <w:r>
        <w:rPr>
          <w:b/>
          <w:i w:val="0"/>
          <w:color w:val="0C2317"/>
          <w:sz w:val="21"/>
        </w:rPr>
        <w:t>7.3 Volet stratégique — arbitrage Direction</w:t>
      </w:r>
    </w:p>
    <w:p>
      <w:r>
        <w:rPr>
          <w:b w:val="0"/>
          <w:i/>
          <w:color w:val="6B7F78"/>
          <w:sz w:val="18"/>
        </w:rPr>
        <w:t>Le volet stratégique (arbitrage Direction) n'a pas été documenté.</w:t>
      </w:r>
    </w:p>
    <w:p>
      <w:pPr>
        <w:spacing w:before="400" w:after="160"/>
        <w:pBdr>
          <w:bottom w:val="single" w:sz="16" w:space="4" w:color="2EE6A0"/>
        </w:pBdr>
      </w:pPr>
      <w:r>
        <w:rPr>
          <w:b/>
          <w:i w:val="0"/>
          <w:color w:val="2EE6A0"/>
          <w:sz w:val="28"/>
        </w:rPr>
        <w:t xml:space="preserve">8. </w:t>
      </w:r>
      <w:r>
        <w:rPr>
          <w:b/>
          <w:i w:val="0"/>
          <w:color w:val="0C2317"/>
          <w:sz w:val="28"/>
        </w:rPr>
        <w:t>Évaluation organisationnelle</w:t>
      </w:r>
    </w:p>
    <w:tbl>
      <w:tblPr>
        <w:tblW w:type="auto" w:w="0"/>
        <w:jc w:val="left"/>
        <w:tblLayout w:type="fixed"/>
        <w:tblLook w:firstColumn="1" w:firstRow="1" w:lastColumn="0" w:lastRow="0" w:noHBand="0" w:noVBand="1" w:val="04A0"/>
      </w:tblPr>
      <w:tblGrid>
        <w:gridCol w:w="1014"/>
        <w:gridCol w:w="2896"/>
        <w:gridCol w:w="1448"/>
        <w:gridCol w:w="4054"/>
      </w:tblGrid>
      <w:tr>
        <w:tc>
          <w:tcPr>
            <w:tcW w:type="dxa" w:w="1014"/>
            <w:shd w:val="clear" w:color="auto" w:fill="F2FBF7"/>
            <w:tcBorders>
              <w:bottom w:val="single" w:sz="6" w:space="0" w:color="C9DBD3"/>
            </w:tcBorders>
          </w:tcPr>
          <w:p>
            <w:r>
              <w:rPr>
                <w:b/>
                <w:i w:val="0"/>
                <w:color w:val="0C2317"/>
                <w:sz w:val="16"/>
              </w:rPr>
              <w:t>ID</w:t>
            </w:r>
          </w:p>
        </w:tc>
        <w:tc>
          <w:tcPr>
            <w:tcW w:type="dxa" w:w="2896"/>
            <w:shd w:val="clear" w:color="auto" w:fill="F2FBF7"/>
            <w:tcBorders>
              <w:bottom w:val="single" w:sz="6" w:space="0" w:color="C9DBD3"/>
            </w:tcBorders>
          </w:tcPr>
          <w:p>
            <w:r>
              <w:rPr>
                <w:b/>
                <w:i w:val="0"/>
                <w:color w:val="0C2317"/>
                <w:sz w:val="16"/>
              </w:rPr>
              <w:t>Exigence organisationnelle</w:t>
            </w:r>
          </w:p>
        </w:tc>
        <w:tc>
          <w:tcPr>
            <w:tcW w:type="dxa" w:w="1448"/>
            <w:shd w:val="clear" w:color="auto" w:fill="F2FBF7"/>
            <w:tcBorders>
              <w:bottom w:val="single" w:sz="6" w:space="0" w:color="C9DBD3"/>
            </w:tcBorders>
          </w:tcPr>
          <w:p>
            <w:r>
              <w:rPr>
                <w:b/>
                <w:i w:val="0"/>
                <w:color w:val="0C2317"/>
                <w:sz w:val="16"/>
              </w:rPr>
              <w:t>Statut</w:t>
            </w:r>
          </w:p>
        </w:tc>
        <w:tc>
          <w:tcPr>
            <w:tcW w:type="dxa" w:w="4054"/>
            <w:shd w:val="clear" w:color="auto" w:fill="F2FBF7"/>
            <w:tcBorders>
              <w:bottom w:val="single" w:sz="6" w:space="0" w:color="C9DBD3"/>
            </w:tcBorders>
          </w:tcPr>
          <w:p>
            <w:r>
              <w:rPr>
                <w:b/>
                <w:i w:val="0"/>
                <w:color w:val="0C2317"/>
                <w:sz w:val="16"/>
              </w:rPr>
              <w:t>Constat et preuve</w:t>
            </w:r>
          </w:p>
        </w:tc>
      </w:tr>
      <w:tr>
        <w:tc>
          <w:tcPr>
            <w:tcW w:type="dxa" w:w="1014"/>
            <w:tcBorders>
              <w:bottom w:val="single" w:sz="4" w:space="0" w:color="DFE7E3"/>
            </w:tcBorders>
          </w:tcPr>
          <w:p>
            <w:r>
              <w:rPr>
                <w:b w:val="0"/>
                <w:i w:val="0"/>
                <w:color w:val="33403B"/>
                <w:sz w:val="18"/>
              </w:rPr>
              <w:t>ISO-A.5</w:t>
            </w:r>
          </w:p>
        </w:tc>
        <w:tc>
          <w:tcPr>
            <w:tcW w:type="dxa" w:w="2896"/>
            <w:tcBorders>
              <w:bottom w:val="single" w:sz="4" w:space="0" w:color="DFE7E3"/>
            </w:tcBorders>
          </w:tcPr>
          <w:p>
            <w:r>
              <w:rPr>
                <w:b w:val="0"/>
                <w:i w:val="0"/>
                <w:color w:val="33403B"/>
                <w:sz w:val="18"/>
              </w:rPr>
              <w:t>Politiques de sécurité de l'information</w:t>
            </w:r>
          </w:p>
        </w:tc>
        <w:tc>
          <w:tcPr>
            <w:tcW w:type="dxa" w:w="1448"/>
            <w:tcBorders>
              <w:bottom w:val="single" w:sz="4" w:space="0" w:color="DFE7E3"/>
            </w:tcBorders>
            <w:shd w:val="clear" w:color="auto" w:fill="E6F8F0"/>
          </w:tcPr>
          <w:p>
            <w:r>
              <w:rPr>
                <w:b/>
                <w:i w:val="0"/>
                <w:color w:val="12694A"/>
                <w:sz w:val="17"/>
              </w:rPr>
              <w:t>Conforme</w:t>
            </w:r>
          </w:p>
        </w:tc>
        <w:tc>
          <w:tcPr>
            <w:tcW w:type="dxa" w:w="4054"/>
            <w:tcBorders>
              <w:bottom w:val="single" w:sz="4" w:space="0" w:color="DFE7E3"/>
            </w:tcBorders>
          </w:tcPr>
          <w:p>
            <w:r>
              <w:rPr>
                <w:b w:val="0"/>
                <w:i w:val="0"/>
                <w:color w:val="33403B"/>
                <w:sz w:val="18"/>
              </w:rPr>
              <w:t>PSSI validée par le comité exécutif le 14/02/2026, revue annuelle planifiée.</w:t>
            </w:r>
          </w:p>
        </w:tc>
      </w:tr>
      <w:tr>
        <w:tc>
          <w:tcPr>
            <w:tcW w:type="dxa" w:w="1014"/>
            <w:tcBorders>
              <w:bottom w:val="single" w:sz="4" w:space="0" w:color="DFE7E3"/>
            </w:tcBorders>
          </w:tcPr>
          <w:p>
            <w:r>
              <w:rPr>
                <w:b w:val="0"/>
                <w:i w:val="0"/>
                <w:color w:val="33403B"/>
                <w:sz w:val="18"/>
              </w:rPr>
              <w:t>ISO-A.6</w:t>
            </w:r>
          </w:p>
        </w:tc>
        <w:tc>
          <w:tcPr>
            <w:tcW w:type="dxa" w:w="2896"/>
            <w:tcBorders>
              <w:bottom w:val="single" w:sz="4" w:space="0" w:color="DFE7E3"/>
            </w:tcBorders>
          </w:tcPr>
          <w:p>
            <w:r>
              <w:rPr>
                <w:b w:val="0"/>
                <w:i w:val="0"/>
                <w:color w:val="33403B"/>
                <w:sz w:val="18"/>
              </w:rPr>
              <w:t>Organisation et rôles de sécurité</w:t>
            </w:r>
          </w:p>
        </w:tc>
        <w:tc>
          <w:tcPr>
            <w:tcW w:type="dxa" w:w="1448"/>
            <w:tcBorders>
              <w:bottom w:val="single" w:sz="4" w:space="0" w:color="DFE7E3"/>
            </w:tcBorders>
            <w:shd w:val="clear" w:color="auto" w:fill="E6F8F0"/>
          </w:tcPr>
          <w:p>
            <w:r>
              <w:rPr>
                <w:b/>
                <w:i w:val="0"/>
                <w:color w:val="12694A"/>
                <w:sz w:val="17"/>
              </w:rPr>
              <w:t>Conforme</w:t>
            </w:r>
          </w:p>
        </w:tc>
        <w:tc>
          <w:tcPr>
            <w:tcW w:type="dxa" w:w="4054"/>
            <w:tcBorders>
              <w:bottom w:val="single" w:sz="4" w:space="0" w:color="DFE7E3"/>
            </w:tcBorders>
          </w:tcPr>
          <w:p>
            <w:r>
              <w:rPr>
                <w:b w:val="0"/>
                <w:i w:val="0"/>
                <w:color w:val="33403B"/>
                <w:sz w:val="18"/>
              </w:rPr>
              <w:t>RSSI rattaché au Directeur des Risques, séparation effective d'avec la DSI.</w:t>
            </w:r>
          </w:p>
        </w:tc>
      </w:tr>
      <w:tr>
        <w:tc>
          <w:tcPr>
            <w:tcW w:type="dxa" w:w="1014"/>
            <w:tcBorders>
              <w:bottom w:val="single" w:sz="4" w:space="0" w:color="DFE7E3"/>
            </w:tcBorders>
          </w:tcPr>
          <w:p>
            <w:r>
              <w:rPr>
                <w:b w:val="0"/>
                <w:i w:val="0"/>
                <w:color w:val="33403B"/>
                <w:sz w:val="18"/>
              </w:rPr>
              <w:t>ISO-A.7</w:t>
            </w:r>
          </w:p>
        </w:tc>
        <w:tc>
          <w:tcPr>
            <w:tcW w:type="dxa" w:w="2896"/>
            <w:tcBorders>
              <w:bottom w:val="single" w:sz="4" w:space="0" w:color="DFE7E3"/>
            </w:tcBorders>
          </w:tcPr>
          <w:p>
            <w:r>
              <w:rPr>
                <w:b w:val="0"/>
                <w:i w:val="0"/>
                <w:color w:val="33403B"/>
                <w:sz w:val="18"/>
              </w:rPr>
              <w:t>Sécurité des ressources humaines</w:t>
            </w:r>
          </w:p>
        </w:tc>
        <w:tc>
          <w:tcPr>
            <w:tcW w:type="dxa" w:w="1448"/>
            <w:tcBorders>
              <w:bottom w:val="single" w:sz="4" w:space="0" w:color="DFE7E3"/>
            </w:tcBorders>
            <w:shd w:val="clear" w:color="auto" w:fill="FDEAED"/>
          </w:tcPr>
          <w:p>
            <w:r>
              <w:rPr>
                <w:b/>
                <w:i w:val="0"/>
                <w:color w:val="A3243C"/>
                <w:sz w:val="17"/>
              </w:rPr>
              <w:t>Non conforme</w:t>
            </w:r>
          </w:p>
        </w:tc>
        <w:tc>
          <w:tcPr>
            <w:tcW w:type="dxa" w:w="4054"/>
            <w:tcBorders>
              <w:bottom w:val="single" w:sz="4" w:space="0" w:color="DFE7E3"/>
            </w:tcBorders>
          </w:tcPr>
          <w:p>
            <w:r>
              <w:rPr>
                <w:b w:val="0"/>
                <w:i w:val="0"/>
                <w:color w:val="33403B"/>
                <w:sz w:val="18"/>
              </w:rPr>
              <w:t>Aucune procédure formalisée de retrait des accès au départ : 14 comptes actifs de personnes sorties des effectifs, dont 3 à privilèges. Écart majeur.</w:t>
            </w:r>
          </w:p>
        </w:tc>
      </w:tr>
      <w:tr>
        <w:tc>
          <w:tcPr>
            <w:tcW w:type="dxa" w:w="1014"/>
            <w:tcBorders>
              <w:bottom w:val="single" w:sz="4" w:space="0" w:color="DFE7E3"/>
            </w:tcBorders>
          </w:tcPr>
          <w:p>
            <w:r>
              <w:rPr>
                <w:b w:val="0"/>
                <w:i w:val="0"/>
                <w:color w:val="33403B"/>
                <w:sz w:val="18"/>
              </w:rPr>
              <w:t>ISO-A.8</w:t>
            </w:r>
          </w:p>
        </w:tc>
        <w:tc>
          <w:tcPr>
            <w:tcW w:type="dxa" w:w="2896"/>
            <w:tcBorders>
              <w:bottom w:val="single" w:sz="4" w:space="0" w:color="DFE7E3"/>
            </w:tcBorders>
          </w:tcPr>
          <w:p>
            <w:r>
              <w:rPr>
                <w:b w:val="0"/>
                <w:i w:val="0"/>
                <w:color w:val="33403B"/>
                <w:sz w:val="18"/>
              </w:rPr>
              <w:t>Gestion des actifs</w:t>
            </w:r>
          </w:p>
        </w:tc>
        <w:tc>
          <w:tcPr>
            <w:tcW w:type="dxa" w:w="1448"/>
            <w:tcBorders>
              <w:bottom w:val="single" w:sz="4" w:space="0" w:color="DFE7E3"/>
            </w:tcBorders>
            <w:shd w:val="clear" w:color="auto" w:fill="FDEAED"/>
          </w:tcPr>
          <w:p>
            <w:r>
              <w:rPr>
                <w:b/>
                <w:i w:val="0"/>
                <w:color w:val="A3243C"/>
                <w:sz w:val="17"/>
              </w:rPr>
              <w:t>Non conforme</w:t>
            </w:r>
          </w:p>
        </w:tc>
        <w:tc>
          <w:tcPr>
            <w:tcW w:type="dxa" w:w="4054"/>
            <w:tcBorders>
              <w:bottom w:val="single" w:sz="4" w:space="0" w:color="DFE7E3"/>
            </w:tcBorders>
          </w:tcPr>
          <w:p>
            <w:r>
              <w:rPr>
                <w:b w:val="0"/>
                <w:i w:val="0"/>
                <w:color w:val="33403B"/>
                <w:sz w:val="18"/>
              </w:rPr>
              <w:t>Inventaire des actifs tenu mais non rapproché du parc réel depuis 19 mois ; 37 serveurs découverts au scan ne figurent pas à l'inventaire.</w:t>
            </w:r>
          </w:p>
        </w:tc>
      </w:tr>
    </w:tbl>
    <w:p/>
    <w:p>
      <w:pPr>
        <w:spacing w:before="400" w:after="160"/>
        <w:pBdr>
          <w:bottom w:val="single" w:sz="16" w:space="4" w:color="2EE6A0"/>
        </w:pBdr>
      </w:pPr>
      <w:r>
        <w:rPr>
          <w:b/>
          <w:i w:val="0"/>
          <w:color w:val="2EE6A0"/>
          <w:sz w:val="28"/>
        </w:rPr>
        <w:t xml:space="preserve">9. </w:t>
      </w:r>
      <w:r>
        <w:rPr>
          <w:b/>
          <w:i w:val="0"/>
          <w:color w:val="0C2317"/>
          <w:sz w:val="28"/>
        </w:rPr>
        <w:t>Évaluation technique des configurations</w:t>
      </w:r>
    </w:p>
    <w:tbl>
      <w:tblPr>
        <w:tblW w:type="auto" w:w="0"/>
        <w:tblLayout w:type="fixed"/>
        <w:tblLook w:firstColumn="1" w:firstRow="1" w:lastColumn="0" w:lastRow="0" w:noHBand="0" w:noVBand="1" w:val="04A0"/>
      </w:tblPr>
      <w:tblGrid>
        <w:gridCol w:w="9412"/>
      </w:tblGrid>
      <w:tr>
        <w:tc>
          <w:tcPr>
            <w:tcW w:type="dxa" w:w="9412"/>
            <w:shd w:val="clear" w:color="auto" w:fill="F2FBF7"/>
          </w:tcPr>
          <w:p>
            <w:r>
              <w:rPr>
                <w:b w:val="0"/>
                <w:i w:val="0"/>
                <w:color w:val="0C2317"/>
                <w:sz w:val="19"/>
              </w:rPr>
              <w:t>Aucun scan technique n'a été exécuté : à ce stade, l'ensemble des constats repose sur du déclaratif.</w:t>
            </w:r>
          </w:p>
        </w:tc>
      </w:tr>
    </w:tbl>
    <w:p/>
    <w:p>
      <w:r>
        <w:rPr>
          <w:b w:val="0"/>
          <w:i/>
          <w:color w:val="6B7F78"/>
          <w:sz w:val="18"/>
        </w:rPr>
        <w:t>Aucun scan technique de configuration n'a été exécuté pour cette mission.</w:t>
      </w:r>
    </w:p>
    <w:p>
      <w:pPr>
        <w:spacing w:before="400" w:after="160"/>
        <w:pBdr>
          <w:bottom w:val="single" w:sz="16" w:space="4" w:color="2EE6A0"/>
        </w:pBdr>
      </w:pPr>
      <w:r>
        <w:rPr>
          <w:b/>
          <w:i w:val="0"/>
          <w:color w:val="2EE6A0"/>
          <w:sz w:val="28"/>
        </w:rPr>
        <w:t xml:space="preserve">10. </w:t>
      </w:r>
      <w:r>
        <w:rPr>
          <w:b/>
          <w:i w:val="0"/>
          <w:color w:val="0C2317"/>
          <w:sz w:val="28"/>
        </w:rPr>
        <w:t>Rattachement aux référentiels (CIS v8 / NIST CSF 2.0)</w:t>
      </w:r>
    </w:p>
    <w:tbl>
      <w:tblPr>
        <w:tblW w:type="auto" w:w="0"/>
        <w:jc w:val="left"/>
        <w:tblLayout w:type="fixed"/>
        <w:tblLook w:firstColumn="1" w:firstRow="1" w:lastColumn="0" w:lastRow="0" w:noHBand="0" w:noVBand="1" w:val="04A0"/>
      </w:tblPr>
      <w:tblGrid>
        <w:gridCol w:w="2606"/>
        <w:gridCol w:w="2317"/>
        <w:gridCol w:w="1448"/>
        <w:gridCol w:w="3041"/>
      </w:tblGrid>
      <w:tr>
        <w:tc>
          <w:tcPr>
            <w:tcW w:type="dxa" w:w="2606"/>
            <w:shd w:val="clear" w:color="auto" w:fill="F2FBF7"/>
            <w:tcBorders>
              <w:bottom w:val="single" w:sz="6" w:space="0" w:color="C9DBD3"/>
            </w:tcBorders>
          </w:tcPr>
          <w:p>
            <w:r>
              <w:rPr>
                <w:b/>
                <w:i w:val="0"/>
                <w:color w:val="0C2317"/>
                <w:sz w:val="16"/>
              </w:rPr>
              <w:t>Pratique</w:t>
            </w:r>
          </w:p>
        </w:tc>
        <w:tc>
          <w:tcPr>
            <w:tcW w:type="dxa" w:w="2317"/>
            <w:shd w:val="clear" w:color="auto" w:fill="F2FBF7"/>
            <w:tcBorders>
              <w:bottom w:val="single" w:sz="6" w:space="0" w:color="C9DBD3"/>
            </w:tcBorders>
          </w:tcPr>
          <w:p>
            <w:r>
              <w:rPr>
                <w:b/>
                <w:i w:val="0"/>
                <w:color w:val="0C2317"/>
                <w:sz w:val="16"/>
              </w:rPr>
              <w:t>Contrôles rattachés</w:t>
            </w:r>
          </w:p>
        </w:tc>
        <w:tc>
          <w:tcPr>
            <w:tcW w:type="dxa" w:w="1448"/>
            <w:shd w:val="clear" w:color="auto" w:fill="F2FBF7"/>
            <w:tcBorders>
              <w:bottom w:val="single" w:sz="6" w:space="0" w:color="C9DBD3"/>
            </w:tcBorders>
          </w:tcPr>
          <w:p>
            <w:r>
              <w:rPr>
                <w:b/>
                <w:i w:val="0"/>
                <w:color w:val="0C2317"/>
                <w:sz w:val="16"/>
              </w:rPr>
              <w:t>État</w:t>
            </w:r>
          </w:p>
        </w:tc>
        <w:tc>
          <w:tcPr>
            <w:tcW w:type="dxa" w:w="3041"/>
            <w:shd w:val="clear" w:color="auto" w:fill="F2FBF7"/>
            <w:tcBorders>
              <w:bottom w:val="single" w:sz="6" w:space="0" w:color="C9DBD3"/>
            </w:tcBorders>
          </w:tcPr>
          <w:p>
            <w:r>
              <w:rPr>
                <w:b/>
                <w:i w:val="0"/>
                <w:color w:val="0C2317"/>
                <w:sz w:val="16"/>
              </w:rPr>
              <w:t>Constaté en</w:t>
            </w:r>
          </w:p>
        </w:tc>
      </w:tr>
      <w:tr>
        <w:tc>
          <w:tcPr>
            <w:tcW w:type="dxa" w:w="2606"/>
            <w:tcBorders>
              <w:bottom w:val="single" w:sz="4" w:space="0" w:color="DFE7E3"/>
            </w:tcBorders>
          </w:tcPr>
          <w:p>
            <w:r>
              <w:rPr>
                <w:b w:val="0"/>
                <w:i w:val="0"/>
                <w:color w:val="33403B"/>
                <w:sz w:val="18"/>
              </w:rPr>
              <w:t>Inventaire des biens supports tenu sur tout le cycle de vie</w:t>
            </w:r>
          </w:p>
        </w:tc>
        <w:tc>
          <w:tcPr>
            <w:tcW w:type="dxa" w:w="2317"/>
            <w:tcBorders>
              <w:bottom w:val="single" w:sz="4" w:space="0" w:color="DFE7E3"/>
            </w:tcBorders>
          </w:tcPr>
          <w:p>
            <w:r>
              <w:rPr>
                <w:b w:val="0"/>
                <w:i w:val="0"/>
                <w:color w:val="33403B"/>
                <w:sz w:val="18"/>
              </w:rPr>
              <w:t>NIST CSF 2.0 ID.AM, CIS v8 CIS 1, CIS v8 CIS 2</w:t>
            </w:r>
          </w:p>
        </w:tc>
        <w:tc>
          <w:tcPr>
            <w:tcW w:type="dxa" w:w="1448"/>
            <w:tcBorders>
              <w:bottom w:val="single" w:sz="4" w:space="0" w:color="DFE7E3"/>
            </w:tcBorders>
          </w:tcPr>
          <w:p>
            <w:r>
              <w:rPr>
                <w:b w:val="0"/>
                <w:i w:val="0"/>
                <w:color w:val="33403B"/>
                <w:sz w:val="18"/>
              </w:rPr>
              <w:t>Couverte</w:t>
            </w:r>
          </w:p>
        </w:tc>
        <w:tc>
          <w:tcPr>
            <w:tcW w:type="dxa" w:w="3041"/>
            <w:tcBorders>
              <w:bottom w:val="single" w:sz="4" w:space="0" w:color="DFE7E3"/>
            </w:tcBorders>
          </w:tcPr>
          <w:p>
            <w:r>
              <w:rPr>
                <w:b w:val="0"/>
                <w:i w:val="0"/>
                <w:color w:val="33403B"/>
                <w:sz w:val="18"/>
              </w:rPr>
              <w:t>5 bien(s) support inventorié(s) en phase 1. (phase 1)</w:t>
            </w:r>
          </w:p>
        </w:tc>
      </w:tr>
      <w:tr>
        <w:tc>
          <w:tcPr>
            <w:tcW w:type="dxa" w:w="2606"/>
            <w:tcBorders>
              <w:bottom w:val="single" w:sz="4" w:space="0" w:color="DFE7E3"/>
            </w:tcBorders>
          </w:tcPr>
          <w:p>
            <w:r>
              <w:rPr>
                <w:b w:val="0"/>
                <w:i w:val="0"/>
                <w:color w:val="33403B"/>
                <w:sz w:val="18"/>
              </w:rPr>
              <w:t>Gestion continue des vulnérabilités</w:t>
            </w:r>
          </w:p>
        </w:tc>
        <w:tc>
          <w:tcPr>
            <w:tcW w:type="dxa" w:w="2317"/>
            <w:tcBorders>
              <w:bottom w:val="single" w:sz="4" w:space="0" w:color="DFE7E3"/>
            </w:tcBorders>
          </w:tcPr>
          <w:p>
            <w:r>
              <w:rPr>
                <w:b w:val="0"/>
                <w:i w:val="0"/>
                <w:color w:val="33403B"/>
                <w:sz w:val="18"/>
              </w:rPr>
              <w:t>CIS v8 CIS 7, NIST CSF 2.0 ID.RA-01</w:t>
            </w:r>
          </w:p>
        </w:tc>
        <w:tc>
          <w:tcPr>
            <w:tcW w:type="dxa" w:w="1448"/>
            <w:tcBorders>
              <w:bottom w:val="single" w:sz="4" w:space="0" w:color="DFE7E3"/>
            </w:tcBorders>
          </w:tcPr>
          <w:p>
            <w:r>
              <w:rPr>
                <w:b w:val="0"/>
                <w:i w:val="0"/>
                <w:color w:val="33403B"/>
                <w:sz w:val="18"/>
              </w:rPr>
              <w:t>Couverte</w:t>
            </w:r>
          </w:p>
        </w:tc>
        <w:tc>
          <w:tcPr>
            <w:tcW w:type="dxa" w:w="3041"/>
            <w:tcBorders>
              <w:bottom w:val="single" w:sz="4" w:space="0" w:color="DFE7E3"/>
            </w:tcBorders>
          </w:tcPr>
          <w:p>
            <w:r>
              <w:rPr>
                <w:b w:val="0"/>
                <w:i w:val="0"/>
                <w:color w:val="33403B"/>
                <w:sz w:val="18"/>
              </w:rPr>
              <w:t>Déclaré actif en phase 2. (phase 2)</w:t>
            </w:r>
          </w:p>
        </w:tc>
      </w:tr>
      <w:tr>
        <w:tc>
          <w:tcPr>
            <w:tcW w:type="dxa" w:w="2606"/>
            <w:tcBorders>
              <w:bottom w:val="single" w:sz="4" w:space="0" w:color="DFE7E3"/>
            </w:tcBorders>
          </w:tcPr>
          <w:p>
            <w:r>
              <w:rPr>
                <w:b w:val="0"/>
                <w:i w:val="0"/>
                <w:color w:val="33403B"/>
                <w:sz w:val="18"/>
              </w:rPr>
              <w:t>Journalisation collectée, conservée et exploitable</w:t>
            </w:r>
          </w:p>
        </w:tc>
        <w:tc>
          <w:tcPr>
            <w:tcW w:type="dxa" w:w="2317"/>
            <w:tcBorders>
              <w:bottom w:val="single" w:sz="4" w:space="0" w:color="DFE7E3"/>
            </w:tcBorders>
          </w:tcPr>
          <w:p>
            <w:r>
              <w:rPr>
                <w:b w:val="0"/>
                <w:i w:val="0"/>
                <w:color w:val="33403B"/>
                <w:sz w:val="18"/>
              </w:rPr>
              <w:t>CIS v8 CIS 8</w:t>
            </w:r>
          </w:p>
        </w:tc>
        <w:tc>
          <w:tcPr>
            <w:tcW w:type="dxa" w:w="1448"/>
            <w:tcBorders>
              <w:bottom w:val="single" w:sz="4" w:space="0" w:color="DFE7E3"/>
            </w:tcBorders>
          </w:tcPr>
          <w:p>
            <w:r>
              <w:rPr>
                <w:b w:val="0"/>
                <w:i w:val="0"/>
                <w:color w:val="33403B"/>
                <w:sz w:val="18"/>
              </w:rPr>
              <w:t>Couverte</w:t>
            </w:r>
          </w:p>
        </w:tc>
        <w:tc>
          <w:tcPr>
            <w:tcW w:type="dxa" w:w="3041"/>
            <w:tcBorders>
              <w:bottom w:val="single" w:sz="4" w:space="0" w:color="DFE7E3"/>
            </w:tcBorders>
          </w:tcPr>
          <w:p>
            <w:r>
              <w:rPr>
                <w:b w:val="0"/>
                <w:i w:val="0"/>
                <w:color w:val="33403B"/>
                <w:sz w:val="18"/>
              </w:rPr>
              <w:t>Déclarée active en phase 5. (phase 5)</w:t>
            </w:r>
          </w:p>
        </w:tc>
      </w:tr>
      <w:tr>
        <w:tc>
          <w:tcPr>
            <w:tcW w:type="dxa" w:w="2606"/>
            <w:tcBorders>
              <w:bottom w:val="single" w:sz="4" w:space="0" w:color="DFE7E3"/>
            </w:tcBorders>
          </w:tcPr>
          <w:p>
            <w:r>
              <w:rPr>
                <w:b w:val="0"/>
                <w:i w:val="0"/>
                <w:color w:val="33403B"/>
                <w:sz w:val="18"/>
              </w:rPr>
              <w:t>Fournisseurs évalués avant acquisition</w:t>
            </w:r>
          </w:p>
        </w:tc>
        <w:tc>
          <w:tcPr>
            <w:tcW w:type="dxa" w:w="2317"/>
            <w:tcBorders>
              <w:bottom w:val="single" w:sz="4" w:space="0" w:color="DFE7E3"/>
            </w:tcBorders>
          </w:tcPr>
          <w:p>
            <w:r>
              <w:rPr>
                <w:b w:val="0"/>
                <w:i w:val="0"/>
                <w:color w:val="33403B"/>
                <w:sz w:val="18"/>
              </w:rPr>
              <w:t>NIST CSF 2.0 ID.RA-10</w:t>
            </w:r>
          </w:p>
        </w:tc>
        <w:tc>
          <w:tcPr>
            <w:tcW w:type="dxa" w:w="1448"/>
            <w:tcBorders>
              <w:bottom w:val="single" w:sz="4" w:space="0" w:color="DFE7E3"/>
            </w:tcBorders>
          </w:tcPr>
          <w:p>
            <w:r>
              <w:rPr>
                <w:b w:val="0"/>
                <w:i w:val="0"/>
                <w:color w:val="33403B"/>
                <w:sz w:val="18"/>
              </w:rPr>
              <w:t>Non couverte</w:t>
            </w:r>
          </w:p>
        </w:tc>
        <w:tc>
          <w:tcPr>
            <w:tcW w:type="dxa" w:w="3041"/>
            <w:tcBorders>
              <w:bottom w:val="single" w:sz="4" w:space="0" w:color="DFE7E3"/>
            </w:tcBorders>
          </w:tcPr>
          <w:p>
            <w:r>
              <w:rPr>
                <w:b w:val="0"/>
                <w:i w:val="0"/>
                <w:color w:val="33403B"/>
                <w:sz w:val="18"/>
              </w:rPr>
              <w:t>2 tiers évalué(s) avant acquisition sur 4. (phase 3)</w:t>
            </w:r>
          </w:p>
        </w:tc>
      </w:tr>
    </w:tbl>
    <w:p/>
    <w:p>
      <w:r>
        <w:rPr>
          <w:b w:val="0"/>
          <w:i w:val="0"/>
          <w:color w:val="6B7F78"/>
          <w:sz w:val="18"/>
        </w:rPr>
        <w:t>3 pratique(s) couverte(s) sur 4 — 75 %.</w:t>
      </w:r>
    </w:p>
    <w:p>
      <w:pPr>
        <w:spacing w:before="400" w:after="160"/>
        <w:pBdr>
          <w:bottom w:val="single" w:sz="16" w:space="4" w:color="2EE6A0"/>
        </w:pBdr>
      </w:pPr>
      <w:r>
        <w:rPr>
          <w:b/>
          <w:i w:val="0"/>
          <w:color w:val="2EE6A0"/>
          <w:sz w:val="28"/>
        </w:rPr>
        <w:t xml:space="preserve">11. </w:t>
      </w:r>
      <w:r>
        <w:rPr>
          <w:b/>
          <w:i w:val="0"/>
          <w:color w:val="0C2317"/>
          <w:sz w:val="28"/>
        </w:rPr>
        <w:t>Plan de traitement</w:t>
      </w:r>
    </w:p>
    <w:p>
      <w:pPr>
        <w:spacing w:before="200" w:after="40"/>
      </w:pPr>
      <w:r>
        <w:rPr>
          <w:b/>
          <w:i w:val="0"/>
          <w:color w:val="0C2317"/>
          <w:sz w:val="21"/>
        </w:rPr>
        <w:t>11.1 Mesures priorisées</w:t>
      </w:r>
    </w:p>
    <w:tbl>
      <w:tblPr>
        <w:tblW w:type="auto" w:w="0"/>
        <w:jc w:val="left"/>
        <w:tblLayout w:type="fixed"/>
        <w:tblLook w:firstColumn="1" w:firstRow="1" w:lastColumn="0" w:lastRow="0" w:noHBand="0" w:noVBand="1" w:val="04A0"/>
      </w:tblPr>
      <w:tblGrid>
        <w:gridCol w:w="1198"/>
        <w:gridCol w:w="1711"/>
        <w:gridCol w:w="1882"/>
        <w:gridCol w:w="4620"/>
      </w:tblGrid>
      <w:tr>
        <w:tc>
          <w:tcPr>
            <w:tcW w:type="dxa" w:w="1198"/>
            <w:shd w:val="clear" w:color="auto" w:fill="F2FBF7"/>
            <w:tcBorders>
              <w:bottom w:val="single" w:sz="6" w:space="0" w:color="C9DBD3"/>
            </w:tcBorders>
          </w:tcPr>
          <w:p>
            <w:r>
              <w:rPr>
                <w:b/>
                <w:i w:val="0"/>
                <w:color w:val="0C2317"/>
                <w:sz w:val="16"/>
              </w:rPr>
              <w:t>ID</w:t>
            </w:r>
          </w:p>
        </w:tc>
        <w:tc>
          <w:tcPr>
            <w:tcW w:type="dxa" w:w="1711"/>
            <w:shd w:val="clear" w:color="auto" w:fill="F2FBF7"/>
            <w:tcBorders>
              <w:bottom w:val="single" w:sz="6" w:space="0" w:color="C9DBD3"/>
            </w:tcBorders>
          </w:tcPr>
          <w:p>
            <w:r>
              <w:rPr>
                <w:b/>
                <w:i w:val="0"/>
                <w:color w:val="0C2317"/>
                <w:sz w:val="16"/>
              </w:rPr>
              <w:t>Priorité</w:t>
            </w:r>
          </w:p>
        </w:tc>
        <w:tc>
          <w:tcPr>
            <w:tcW w:type="dxa" w:w="1882"/>
            <w:shd w:val="clear" w:color="auto" w:fill="F2FBF7"/>
            <w:tcBorders>
              <w:bottom w:val="single" w:sz="6" w:space="0" w:color="C9DBD3"/>
            </w:tcBorders>
          </w:tcPr>
          <w:p>
            <w:r>
              <w:rPr>
                <w:b/>
                <w:i w:val="0"/>
                <w:color w:val="0C2317"/>
                <w:sz w:val="16"/>
              </w:rPr>
              <w:t>Axe</w:t>
            </w:r>
          </w:p>
        </w:tc>
        <w:tc>
          <w:tcPr>
            <w:tcW w:type="dxa" w:w="4620"/>
            <w:shd w:val="clear" w:color="auto" w:fill="F2FBF7"/>
            <w:tcBorders>
              <w:bottom w:val="single" w:sz="6" w:space="0" w:color="C9DBD3"/>
            </w:tcBorders>
          </w:tcPr>
          <w:p>
            <w:r>
              <w:rPr>
                <w:b/>
                <w:i w:val="0"/>
                <w:color w:val="0C2317"/>
                <w:sz w:val="16"/>
              </w:rPr>
              <w:t>Mesure de traitement</w:t>
            </w:r>
          </w:p>
        </w:tc>
      </w:tr>
      <w:tr>
        <w:tc>
          <w:tcPr>
            <w:tcW w:type="dxa" w:w="1198"/>
            <w:tcBorders>
              <w:bottom w:val="single" w:sz="4" w:space="0" w:color="DFE7E3"/>
            </w:tcBorders>
          </w:tcPr>
          <w:p>
            <w:r>
              <w:rPr>
                <w:b w:val="0"/>
                <w:i w:val="0"/>
                <w:color w:val="33403B"/>
                <w:sz w:val="18"/>
              </w:rPr>
              <w:t>REM-01</w:t>
            </w:r>
          </w:p>
        </w:tc>
        <w:tc>
          <w:tcPr>
            <w:tcW w:type="dxa" w:w="1711"/>
            <w:tcBorders>
              <w:bottom w:val="single" w:sz="4" w:space="0" w:color="DFE7E3"/>
            </w:tcBorders>
            <w:shd w:val="clear" w:color="auto" w:fill="FDEAED"/>
          </w:tcPr>
          <w:p>
            <w:r>
              <w:rPr>
                <w:b/>
                <w:i w:val="0"/>
                <w:color w:val="A3243C"/>
                <w:sz w:val="17"/>
              </w:rPr>
              <w:t>Critique</w:t>
            </w:r>
          </w:p>
        </w:tc>
        <w:tc>
          <w:tcPr>
            <w:tcW w:type="dxa" w:w="1882"/>
            <w:tcBorders>
              <w:bottom w:val="single" w:sz="4" w:space="0" w:color="DFE7E3"/>
            </w:tcBorders>
          </w:tcPr>
          <w:p>
            <w:r>
              <w:rPr>
                <w:b w:val="0"/>
                <w:i w:val="0"/>
                <w:color w:val="33403B"/>
                <w:sz w:val="18"/>
              </w:rPr>
              <w:t>Gouvernance</w:t>
            </w:r>
          </w:p>
        </w:tc>
        <w:tc>
          <w:tcPr>
            <w:tcW w:type="dxa" w:w="4620"/>
            <w:tcBorders>
              <w:bottom w:val="single" w:sz="4" w:space="0" w:color="DFE7E3"/>
            </w:tcBorders>
          </w:tcPr>
          <w:p>
            <w:r>
              <w:rPr>
                <w:b w:val="0"/>
                <w:i w:val="0"/>
                <w:color w:val="33403B"/>
                <w:sz w:val="18"/>
              </w:rPr>
              <w:t>Formaliser la procédure de retrait des accès au départ et clôturer les 14 comptes actifs de sortants — écart ISO A.7.</w:t>
            </w:r>
          </w:p>
        </w:tc>
      </w:tr>
      <w:tr>
        <w:tc>
          <w:tcPr>
            <w:tcW w:type="dxa" w:w="1198"/>
            <w:tcBorders>
              <w:bottom w:val="single" w:sz="4" w:space="0" w:color="DFE7E3"/>
            </w:tcBorders>
          </w:tcPr>
          <w:p>
            <w:r>
              <w:rPr>
                <w:b w:val="0"/>
                <w:i w:val="0"/>
                <w:color w:val="33403B"/>
                <w:sz w:val="18"/>
              </w:rPr>
              <w:t>REM-02</w:t>
            </w:r>
          </w:p>
        </w:tc>
        <w:tc>
          <w:tcPr>
            <w:tcW w:type="dxa" w:w="1711"/>
            <w:tcBorders>
              <w:bottom w:val="single" w:sz="4" w:space="0" w:color="DFE7E3"/>
            </w:tcBorders>
            <w:shd w:val="clear" w:color="auto" w:fill="FDEAED"/>
          </w:tcPr>
          <w:p>
            <w:r>
              <w:rPr>
                <w:b/>
                <w:i w:val="0"/>
                <w:color w:val="A3243C"/>
                <w:sz w:val="17"/>
              </w:rPr>
              <w:t>Critique</w:t>
            </w:r>
          </w:p>
        </w:tc>
        <w:tc>
          <w:tcPr>
            <w:tcW w:type="dxa" w:w="1882"/>
            <w:tcBorders>
              <w:bottom w:val="single" w:sz="4" w:space="0" w:color="DFE7E3"/>
            </w:tcBorders>
          </w:tcPr>
          <w:p>
            <w:r>
              <w:rPr>
                <w:b w:val="0"/>
                <w:i w:val="0"/>
                <w:color w:val="33403B"/>
                <w:sz w:val="18"/>
              </w:rPr>
              <w:t>Gouvernance</w:t>
            </w:r>
          </w:p>
        </w:tc>
        <w:tc>
          <w:tcPr>
            <w:tcW w:type="dxa" w:w="4620"/>
            <w:tcBorders>
              <w:bottom w:val="single" w:sz="4" w:space="0" w:color="DFE7E3"/>
            </w:tcBorders>
          </w:tcPr>
          <w:p>
            <w:r>
              <w:rPr>
                <w:b w:val="0"/>
                <w:i w:val="0"/>
                <w:color w:val="33403B"/>
                <w:sz w:val="18"/>
              </w:rPr>
              <w:t>Compléter le registre d'information DORA (Art. 28.3) pour les 3 prestataires critiques manquants avant l'échéance ACPR.</w:t>
            </w:r>
          </w:p>
        </w:tc>
      </w:tr>
      <w:tr>
        <w:tc>
          <w:tcPr>
            <w:tcW w:type="dxa" w:w="1198"/>
            <w:tcBorders>
              <w:bottom w:val="single" w:sz="4" w:space="0" w:color="DFE7E3"/>
            </w:tcBorders>
          </w:tcPr>
          <w:p>
            <w:r>
              <w:rPr>
                <w:b w:val="0"/>
                <w:i w:val="0"/>
                <w:color w:val="33403B"/>
                <w:sz w:val="18"/>
              </w:rPr>
              <w:t>REM-03</w:t>
            </w:r>
          </w:p>
        </w:tc>
        <w:tc>
          <w:tcPr>
            <w:tcW w:type="dxa" w:w="1711"/>
            <w:tcBorders>
              <w:bottom w:val="single" w:sz="4" w:space="0" w:color="DFE7E3"/>
            </w:tcBorders>
            <w:shd w:val="clear" w:color="auto" w:fill="FDF3E0"/>
          </w:tcPr>
          <w:p>
            <w:r>
              <w:rPr>
                <w:b/>
                <w:i w:val="0"/>
                <w:color w:val="8A5B00"/>
                <w:sz w:val="17"/>
              </w:rPr>
              <w:t>Élevé</w:t>
            </w:r>
          </w:p>
        </w:tc>
        <w:tc>
          <w:tcPr>
            <w:tcW w:type="dxa" w:w="1882"/>
            <w:tcBorders>
              <w:bottom w:val="single" w:sz="4" w:space="0" w:color="DFE7E3"/>
            </w:tcBorders>
          </w:tcPr>
          <w:p>
            <w:r>
              <w:rPr>
                <w:b w:val="0"/>
                <w:i w:val="0"/>
                <w:color w:val="33403B"/>
                <w:sz w:val="18"/>
              </w:rPr>
              <w:t>Protection</w:t>
            </w:r>
          </w:p>
        </w:tc>
        <w:tc>
          <w:tcPr>
            <w:tcW w:type="dxa" w:w="4620"/>
            <w:tcBorders>
              <w:bottom w:val="single" w:sz="4" w:space="0" w:color="DFE7E3"/>
            </w:tcBorders>
          </w:tcPr>
          <w:p>
            <w:r>
              <w:rPr>
                <w:b w:val="0"/>
                <w:i w:val="0"/>
                <w:color w:val="33403B"/>
                <w:sz w:val="18"/>
              </w:rPr>
              <w:t>Rapprocher l'inventaire des actifs du parc réel et intégrer les 37 serveurs découverts — écart ISO A.8.</w:t>
            </w:r>
          </w:p>
        </w:tc>
      </w:tr>
      <w:tr>
        <w:tc>
          <w:tcPr>
            <w:tcW w:type="dxa" w:w="1198"/>
            <w:tcBorders>
              <w:bottom w:val="single" w:sz="4" w:space="0" w:color="DFE7E3"/>
            </w:tcBorders>
          </w:tcPr>
          <w:p>
            <w:r>
              <w:rPr>
                <w:b w:val="0"/>
                <w:i w:val="0"/>
                <w:color w:val="33403B"/>
                <w:sz w:val="18"/>
              </w:rPr>
              <w:t>REM-04</w:t>
            </w:r>
          </w:p>
        </w:tc>
        <w:tc>
          <w:tcPr>
            <w:tcW w:type="dxa" w:w="1711"/>
            <w:tcBorders>
              <w:bottom w:val="single" w:sz="4" w:space="0" w:color="DFE7E3"/>
            </w:tcBorders>
            <w:shd w:val="clear" w:color="auto" w:fill="FDF3E0"/>
          </w:tcPr>
          <w:p>
            <w:r>
              <w:rPr>
                <w:b/>
                <w:i w:val="0"/>
                <w:color w:val="8A5B00"/>
                <w:sz w:val="17"/>
              </w:rPr>
              <w:t>Élevé</w:t>
            </w:r>
          </w:p>
        </w:tc>
        <w:tc>
          <w:tcPr>
            <w:tcW w:type="dxa" w:w="1882"/>
            <w:tcBorders>
              <w:bottom w:val="single" w:sz="4" w:space="0" w:color="DFE7E3"/>
            </w:tcBorders>
          </w:tcPr>
          <w:p>
            <w:r>
              <w:rPr>
                <w:b w:val="0"/>
                <w:i w:val="0"/>
                <w:color w:val="33403B"/>
                <w:sz w:val="18"/>
              </w:rPr>
              <w:t>Gouvernance</w:t>
            </w:r>
          </w:p>
        </w:tc>
        <w:tc>
          <w:tcPr>
            <w:tcW w:type="dxa" w:w="4620"/>
            <w:tcBorders>
              <w:bottom w:val="single" w:sz="4" w:space="0" w:color="DFE7E3"/>
            </w:tcBorders>
          </w:tcPr>
          <w:p>
            <w:r>
              <w:rPr>
                <w:b w:val="0"/>
                <w:i w:val="0"/>
                <w:color w:val="33403B"/>
                <w:sz w:val="18"/>
              </w:rPr>
              <w:t>Documenter et tester une stratégie de sortie pour le prestataire core banking — exigence DORA.</w:t>
            </w:r>
          </w:p>
        </w:tc>
      </w:tr>
      <w:tr>
        <w:tc>
          <w:tcPr>
            <w:tcW w:type="dxa" w:w="1198"/>
            <w:tcBorders>
              <w:bottom w:val="single" w:sz="4" w:space="0" w:color="DFE7E3"/>
            </w:tcBorders>
          </w:tcPr>
          <w:p>
            <w:r>
              <w:rPr>
                <w:b w:val="0"/>
                <w:i w:val="0"/>
                <w:color w:val="33403B"/>
                <w:sz w:val="18"/>
              </w:rPr>
              <w:t>REM-05</w:t>
            </w:r>
          </w:p>
        </w:tc>
        <w:tc>
          <w:tcPr>
            <w:tcW w:type="dxa" w:w="1711"/>
            <w:tcBorders>
              <w:bottom w:val="single" w:sz="4" w:space="0" w:color="DFE7E3"/>
            </w:tcBorders>
            <w:shd w:val="clear" w:color="auto" w:fill="E8F4FD"/>
          </w:tcPr>
          <w:p>
            <w:r>
              <w:rPr>
                <w:b/>
                <w:i w:val="0"/>
                <w:color w:val="1D5F88"/>
                <w:sz w:val="17"/>
              </w:rPr>
              <w:t>Moyen</w:t>
            </w:r>
          </w:p>
        </w:tc>
        <w:tc>
          <w:tcPr>
            <w:tcW w:type="dxa" w:w="1882"/>
            <w:tcBorders>
              <w:bottom w:val="single" w:sz="4" w:space="0" w:color="DFE7E3"/>
            </w:tcBorders>
          </w:tcPr>
          <w:p>
            <w:r>
              <w:rPr>
                <w:b w:val="0"/>
                <w:i w:val="0"/>
                <w:color w:val="33403B"/>
                <w:sz w:val="18"/>
              </w:rPr>
              <w:t>Défense</w:t>
            </w:r>
          </w:p>
        </w:tc>
        <w:tc>
          <w:tcPr>
            <w:tcW w:type="dxa" w:w="4620"/>
            <w:tcBorders>
              <w:bottom w:val="single" w:sz="4" w:space="0" w:color="DFE7E3"/>
            </w:tcBorders>
          </w:tcPr>
          <w:p>
            <w:r>
              <w:rPr>
                <w:b w:val="0"/>
                <w:i w:val="0"/>
                <w:color w:val="33403B"/>
                <w:sz w:val="18"/>
              </w:rPr>
              <w:t>Étendre la collecte SIEM aux journaux applicatifs du core banking, aujourd'hui absents des 380 sources.</w:t>
            </w:r>
          </w:p>
        </w:tc>
      </w:tr>
    </w:tbl>
    <w:p/>
    <w:p>
      <w:pPr>
        <w:spacing w:before="200" w:after="40"/>
      </w:pPr>
      <w:r>
        <w:rPr>
          <w:b/>
          <w:i w:val="0"/>
          <w:color w:val="0C2317"/>
          <w:sz w:val="21"/>
        </w:rPr>
        <w:t>11.2 Actions immédiates</w:t>
      </w:r>
    </w:p>
    <w:p>
      <w:pPr>
        <w:pStyle w:val="ListNumber"/>
      </w:pPr>
      <w:r>
        <w:rPr>
          <w:b w:val="0"/>
          <w:i w:val="0"/>
          <w:color w:val="33403B"/>
          <w:sz w:val="19"/>
        </w:rPr>
        <w:t>Clôturer les 3 comptes à privilèges de personnes sorties</w:t>
      </w:r>
    </w:p>
    <w:p>
      <w:pPr>
        <w:pStyle w:val="ListNumber"/>
      </w:pPr>
      <w:r>
        <w:rPr>
          <w:b w:val="0"/>
          <w:i w:val="0"/>
          <w:color w:val="33403B"/>
          <w:sz w:val="19"/>
        </w:rPr>
        <w:t>Publier la liste des prestataires critiques au registre DORA</w:t>
      </w:r>
    </w:p>
    <w:p>
      <w:pPr>
        <w:pStyle w:val="ListNumber"/>
      </w:pPr>
      <w:r>
        <w:rPr>
          <w:b w:val="0"/>
          <w:i w:val="0"/>
          <w:color w:val="33403B"/>
          <w:sz w:val="19"/>
        </w:rPr>
        <w:t>Activer l'alerte SIEM sur création de compte à privilèges</w:t>
      </w:r>
    </w:p>
    <w:p>
      <w:pPr>
        <w:pStyle w:val="ListNumber"/>
      </w:pPr>
      <w:r>
        <w:rPr>
          <w:b w:val="0"/>
          <w:i w:val="0"/>
          <w:color w:val="33403B"/>
          <w:sz w:val="19"/>
        </w:rPr>
        <w:t>Vérifier la couverture EDR des 37 serveurs découverts</w:t>
      </w:r>
    </w:p>
    <w:p>
      <w:pPr>
        <w:pStyle w:val="ListNumber"/>
      </w:pPr>
      <w:r>
        <w:rPr>
          <w:b w:val="0"/>
          <w:i w:val="0"/>
          <w:color w:val="33403B"/>
          <w:sz w:val="19"/>
        </w:rPr>
        <w:t>Planifier le prochain test de bascule avec procès-verbal</w:t>
      </w:r>
    </w:p>
    <w:p>
      <w:pPr>
        <w:pStyle w:val="ListNumber"/>
      </w:pPr>
      <w:r>
        <w:rPr>
          <w:b w:val="0"/>
          <w:i w:val="0"/>
          <w:color w:val="33403B"/>
          <w:sz w:val="19"/>
        </w:rPr>
        <w:t>Confirmer la clause de sortie du contrat core banking</w:t>
      </w:r>
    </w:p>
    <w:p>
      <w:pPr>
        <w:spacing w:before="400" w:after="160"/>
        <w:pBdr>
          <w:bottom w:val="single" w:sz="16" w:space="4" w:color="2EE6A0"/>
        </w:pBdr>
      </w:pPr>
      <w:r>
        <w:rPr>
          <w:b/>
          <w:i w:val="0"/>
          <w:color w:val="2EE6A0"/>
          <w:sz w:val="28"/>
        </w:rPr>
        <w:t xml:space="preserve">12. </w:t>
      </w:r>
      <w:r>
        <w:rPr>
          <w:b/>
          <w:i w:val="0"/>
          <w:color w:val="0C2317"/>
          <w:sz w:val="28"/>
        </w:rPr>
        <w:t>Charges consommées</w:t>
      </w:r>
    </w:p>
    <w:tbl>
      <w:tblPr>
        <w:tblW w:type="auto" w:w="0"/>
        <w:jc w:val="left"/>
        <w:tblLayout w:type="fixed"/>
        <w:tblLook w:firstColumn="1" w:firstRow="1" w:lastColumn="0" w:lastRow="0" w:noHBand="0" w:noVBand="1" w:val="04A0"/>
      </w:tblPr>
      <w:tblGrid>
        <w:gridCol w:w="5177"/>
        <w:gridCol w:w="4235"/>
      </w:tblGrid>
      <w:tr>
        <w:tc>
          <w:tcPr>
            <w:tcW w:type="dxa" w:w="5177"/>
            <w:shd w:val="clear" w:color="auto" w:fill="F2FBF7"/>
            <w:tcBorders>
              <w:bottom w:val="single" w:sz="6" w:space="0" w:color="C9DBD3"/>
            </w:tcBorders>
          </w:tcPr>
          <w:p>
            <w:r>
              <w:rPr>
                <w:b/>
                <w:i w:val="0"/>
                <w:color w:val="0C2317"/>
                <w:sz w:val="16"/>
              </w:rPr>
              <w:t>Phase</w:t>
            </w:r>
          </w:p>
        </w:tc>
        <w:tc>
          <w:tcPr>
            <w:tcW w:type="dxa" w:w="4235"/>
            <w:shd w:val="clear" w:color="auto" w:fill="F2FBF7"/>
            <w:tcBorders>
              <w:bottom w:val="single" w:sz="6" w:space="0" w:color="C9DBD3"/>
            </w:tcBorders>
          </w:tcPr>
          <w:p>
            <w:pPr>
              <w:jc w:val="right"/>
            </w:pPr>
            <w:r>
              <w:rPr>
                <w:b/>
                <w:i w:val="0"/>
                <w:color w:val="0C2317"/>
                <w:sz w:val="16"/>
              </w:rPr>
              <w:t>Temps consommé</w:t>
            </w:r>
          </w:p>
        </w:tc>
      </w:tr>
      <w:tr>
        <w:tc>
          <w:tcPr>
            <w:tcW w:type="dxa" w:w="5177"/>
            <w:tcBorders>
              <w:bottom w:val="single" w:sz="4" w:space="0" w:color="DFE7E3"/>
            </w:tcBorders>
          </w:tcPr>
          <w:p>
            <w:r>
              <w:rPr>
                <w:b w:val="0"/>
                <w:i w:val="0"/>
                <w:color w:val="33403B"/>
                <w:sz w:val="18"/>
              </w:rPr>
              <w:t>Cadrage &amp; Patrimoine</w:t>
            </w:r>
          </w:p>
        </w:tc>
        <w:tc>
          <w:tcPr>
            <w:tcW w:type="dxa" w:w="4235"/>
            <w:tcBorders>
              <w:bottom w:val="single" w:sz="4" w:space="0" w:color="DFE7E3"/>
            </w:tcBorders>
          </w:tcPr>
          <w:p>
            <w:pPr>
              <w:jc w:val="right"/>
            </w:pPr>
            <w:r>
              <w:rPr>
                <w:b w:val="0"/>
                <w:i w:val="0"/>
                <w:color w:val="33403B"/>
                <w:sz w:val="18"/>
              </w:rPr>
              <w:t>20 h</w:t>
            </w:r>
          </w:p>
        </w:tc>
      </w:tr>
      <w:tr>
        <w:tc>
          <w:tcPr>
            <w:tcW w:type="dxa" w:w="5177"/>
            <w:tcBorders>
              <w:bottom w:val="single" w:sz="4" w:space="0" w:color="DFE7E3"/>
            </w:tcBorders>
          </w:tcPr>
          <w:p>
            <w:r>
              <w:rPr>
                <w:b w:val="0"/>
                <w:i w:val="0"/>
                <w:color w:val="33403B"/>
                <w:sz w:val="18"/>
              </w:rPr>
              <w:t>Diagnostic &amp; RGPD</w:t>
            </w:r>
          </w:p>
        </w:tc>
        <w:tc>
          <w:tcPr>
            <w:tcW w:type="dxa" w:w="4235"/>
            <w:tcBorders>
              <w:bottom w:val="single" w:sz="4" w:space="0" w:color="DFE7E3"/>
            </w:tcBorders>
          </w:tcPr>
          <w:p>
            <w:pPr>
              <w:jc w:val="right"/>
            </w:pPr>
            <w:r>
              <w:rPr>
                <w:b w:val="0"/>
                <w:i w:val="0"/>
                <w:color w:val="33403B"/>
                <w:sz w:val="18"/>
              </w:rPr>
              <w:t>24 h</w:t>
            </w:r>
          </w:p>
        </w:tc>
      </w:tr>
      <w:tr>
        <w:tc>
          <w:tcPr>
            <w:tcW w:type="dxa" w:w="5177"/>
            <w:tcBorders>
              <w:bottom w:val="single" w:sz="4" w:space="0" w:color="DFE7E3"/>
            </w:tcBorders>
          </w:tcPr>
          <w:p>
            <w:r>
              <w:rPr>
                <w:b w:val="0"/>
                <w:i w:val="0"/>
                <w:color w:val="33403B"/>
                <w:sz w:val="18"/>
              </w:rPr>
              <w:t>Risques Tiers (TPRM)</w:t>
            </w:r>
          </w:p>
        </w:tc>
        <w:tc>
          <w:tcPr>
            <w:tcW w:type="dxa" w:w="4235"/>
            <w:tcBorders>
              <w:bottom w:val="single" w:sz="4" w:space="0" w:color="DFE7E3"/>
            </w:tcBorders>
          </w:tcPr>
          <w:p>
            <w:pPr>
              <w:jc w:val="right"/>
            </w:pPr>
            <w:r>
              <w:rPr>
                <w:b w:val="0"/>
                <w:i w:val="0"/>
                <w:color w:val="33403B"/>
                <w:sz w:val="18"/>
              </w:rPr>
              <w:t>16 h</w:t>
            </w:r>
          </w:p>
        </w:tc>
      </w:tr>
      <w:tr>
        <w:tc>
          <w:tcPr>
            <w:tcW w:type="dxa" w:w="5177"/>
            <w:tcBorders>
              <w:bottom w:val="single" w:sz="4" w:space="0" w:color="DFE7E3"/>
            </w:tcBorders>
          </w:tcPr>
          <w:p>
            <w:r>
              <w:rPr>
                <w:b w:val="0"/>
                <w:i w:val="0"/>
                <w:color w:val="33403B"/>
                <w:sz w:val="18"/>
              </w:rPr>
              <w:t>Analyse des Menaces (EBIOS RM)</w:t>
            </w:r>
          </w:p>
        </w:tc>
        <w:tc>
          <w:tcPr>
            <w:tcW w:type="dxa" w:w="4235"/>
            <w:tcBorders>
              <w:bottom w:val="single" w:sz="4" w:space="0" w:color="DFE7E3"/>
            </w:tcBorders>
          </w:tcPr>
          <w:p>
            <w:pPr>
              <w:jc w:val="right"/>
            </w:pPr>
            <w:r>
              <w:rPr>
                <w:b w:val="0"/>
                <w:i w:val="0"/>
                <w:color w:val="33403B"/>
                <w:sz w:val="18"/>
              </w:rPr>
              <w:t>12 h</w:t>
            </w:r>
          </w:p>
        </w:tc>
      </w:tr>
      <w:tr>
        <w:tc>
          <w:tcPr>
            <w:tcW w:type="dxa" w:w="5177"/>
            <w:tcBorders>
              <w:bottom w:val="single" w:sz="4" w:space="0" w:color="DFE7E3"/>
            </w:tcBorders>
          </w:tcPr>
          <w:p>
            <w:r>
              <w:rPr>
                <w:b w:val="0"/>
                <w:i w:val="0"/>
                <w:color w:val="33403B"/>
                <w:sz w:val="18"/>
              </w:rPr>
              <w:t>Résilience &amp; E3R</w:t>
            </w:r>
          </w:p>
        </w:tc>
        <w:tc>
          <w:tcPr>
            <w:tcW w:type="dxa" w:w="4235"/>
            <w:tcBorders>
              <w:bottom w:val="single" w:sz="4" w:space="0" w:color="DFE7E3"/>
            </w:tcBorders>
          </w:tcPr>
          <w:p>
            <w:pPr>
              <w:jc w:val="right"/>
            </w:pPr>
            <w:r>
              <w:rPr>
                <w:b w:val="0"/>
                <w:i w:val="0"/>
                <w:color w:val="33403B"/>
                <w:sz w:val="18"/>
              </w:rPr>
              <w:t>15 h</w:t>
            </w:r>
          </w:p>
        </w:tc>
      </w:tr>
      <w:tr>
        <w:tc>
          <w:tcPr>
            <w:tcW w:type="dxa" w:w="5177"/>
            <w:tcBorders>
              <w:bottom w:val="single" w:sz="4" w:space="0" w:color="DFE7E3"/>
            </w:tcBorders>
          </w:tcPr>
          <w:p>
            <w:r>
              <w:rPr>
                <w:b w:val="0"/>
                <w:i w:val="0"/>
                <w:color w:val="33403B"/>
                <w:sz w:val="18"/>
              </w:rPr>
              <w:t>Traitement &amp; Livrables</w:t>
            </w:r>
          </w:p>
        </w:tc>
        <w:tc>
          <w:tcPr>
            <w:tcW w:type="dxa" w:w="4235"/>
            <w:tcBorders>
              <w:bottom w:val="single" w:sz="4" w:space="0" w:color="DFE7E3"/>
            </w:tcBorders>
          </w:tcPr>
          <w:p>
            <w:pPr>
              <w:jc w:val="right"/>
            </w:pPr>
            <w:r>
              <w:rPr>
                <w:b w:val="0"/>
                <w:i w:val="0"/>
                <w:color w:val="33403B"/>
                <w:sz w:val="18"/>
              </w:rPr>
              <w:t>14 h</w:t>
            </w:r>
          </w:p>
        </w:tc>
      </w:tr>
      <w:tr>
        <w:tc>
          <w:tcPr>
            <w:tcW w:type="dxa" w:w="5177"/>
            <w:tcBorders>
              <w:bottom w:val="single" w:sz="4" w:space="0" w:color="DFE7E3"/>
            </w:tcBorders>
          </w:tcPr>
          <w:p>
            <w:r>
              <w:rPr>
                <w:b w:val="0"/>
                <w:i w:val="0"/>
                <w:color w:val="33403B"/>
                <w:sz w:val="18"/>
              </w:rPr>
              <w:t>Coordination, déplacements, rédaction</w:t>
            </w:r>
          </w:p>
        </w:tc>
        <w:tc>
          <w:tcPr>
            <w:tcW w:type="dxa" w:w="4235"/>
            <w:tcBorders>
              <w:bottom w:val="single" w:sz="4" w:space="0" w:color="DFE7E3"/>
            </w:tcBorders>
          </w:tcPr>
          <w:p>
            <w:pPr>
              <w:jc w:val="right"/>
            </w:pPr>
            <w:r>
              <w:rPr>
                <w:b w:val="0"/>
                <w:i w:val="0"/>
                <w:color w:val="33403B"/>
                <w:sz w:val="18"/>
              </w:rPr>
              <w:t>10 h</w:t>
            </w:r>
          </w:p>
        </w:tc>
      </w:tr>
      <w:tr>
        <w:tc>
          <w:tcPr>
            <w:tcW w:type="dxa" w:w="5177"/>
            <w:tcBorders>
              <w:bottom w:val="single" w:sz="4" w:space="0" w:color="DFE7E3"/>
            </w:tcBorders>
          </w:tcPr>
          <w:p>
            <w:r>
              <w:rPr>
                <w:b w:val="0"/>
                <w:i w:val="0"/>
                <w:color w:val="33403B"/>
                <w:sz w:val="18"/>
              </w:rPr>
              <w:t>Total</w:t>
            </w:r>
          </w:p>
        </w:tc>
        <w:tc>
          <w:tcPr>
            <w:tcW w:type="dxa" w:w="4235"/>
            <w:tcBorders>
              <w:bottom w:val="single" w:sz="4" w:space="0" w:color="DFE7E3"/>
            </w:tcBorders>
          </w:tcPr>
          <w:p>
            <w:pPr>
              <w:jc w:val="right"/>
            </w:pPr>
            <w:r>
              <w:rPr>
                <w:b w:val="0"/>
                <w:i w:val="0"/>
                <w:color w:val="33403B"/>
                <w:sz w:val="18"/>
              </w:rPr>
              <w:t>111 h</w:t>
            </w:r>
          </w:p>
        </w:tc>
      </w:tr>
    </w:tbl>
    <w:p/>
    <w:p>
      <w:r>
        <w:rPr>
          <w:b w:val="0"/>
          <w:i w:val="0"/>
          <w:color w:val="6B7F78"/>
          <w:sz w:val="18"/>
        </w:rPr>
        <w:t>Budget vendu : 34 jours</w:t>
      </w:r>
    </w:p>
    <w:p>
      <w:pPr>
        <w:spacing w:before="400" w:after="160"/>
        <w:pBdr>
          <w:bottom w:val="single" w:sz="16" w:space="4" w:color="2EE6A0"/>
        </w:pBdr>
      </w:pPr>
      <w:r>
        <w:rPr>
          <w:b/>
          <w:i w:val="0"/>
          <w:color w:val="2EE6A0"/>
          <w:sz w:val="28"/>
        </w:rPr>
        <w:t xml:space="preserve">13. </w:t>
      </w:r>
      <w:r>
        <w:rPr>
          <w:b/>
          <w:i w:val="0"/>
          <w:color w:val="0C2317"/>
          <w:sz w:val="28"/>
        </w:rPr>
        <w:t>Réserves et limites</w:t>
      </w:r>
    </w:p>
    <w:p>
      <w:r>
        <w:rPr>
          <w:b w:val="0"/>
          <w:i w:val="0"/>
          <w:color w:val="33403B"/>
          <w:sz w:val="19"/>
        </w:rPr>
        <w:t>Les constats figurant dans le présent rapport reposent exclusivement sur les éléments communiqués par Banque Aurore SA et sur les preuves collectées à la date du 30/07/2026, dans le périmètre défini au chapitre 2. Les déclarations recueillies auprès des interlocuteurs n'ont fait l'objet d'une vérification technique que lorsque la colonne « Preuve » le mentionne explicitement. Le présent rapport constitue une évaluation à un instant donné et ne saurait valoir garantie d'absence de vulnérabilité ni de conformité future, le niveau de sécurité évoluant avec le système d'information et l'état de la menace.</w:t>
      </w:r>
    </w:p>
    <w:p>
      <w:pPr>
        <w:spacing w:before="400" w:after="160"/>
        <w:pBdr>
          <w:bottom w:val="single" w:sz="16" w:space="4" w:color="2EE6A0"/>
        </w:pBdr>
      </w:pPr>
      <w:r>
        <w:rPr>
          <w:b/>
          <w:i w:val="0"/>
          <w:color w:val="2EE6A0"/>
          <w:sz w:val="28"/>
        </w:rPr>
        <w:t xml:space="preserve">14. </w:t>
      </w:r>
      <w:r>
        <w:rPr>
          <w:b/>
          <w:i w:val="0"/>
          <w:color w:val="0C2317"/>
          <w:sz w:val="28"/>
        </w:rPr>
        <w:t>Certifications et signatures</w:t>
      </w:r>
    </w:p>
    <w:p>
      <w:r>
        <w:rPr>
          <w:b w:val="0"/>
          <w:i w:val="0"/>
          <w:color w:val="33403B"/>
          <w:sz w:val="19"/>
        </w:rPr>
        <w:t>L'auditeur certifie l'exactitude des constats factuels mentionnés dans le présent rapport.</w:t>
      </w:r>
    </w:p>
    <w:tbl>
      <w:tblPr>
        <w:tblW w:type="auto" w:w="0"/>
        <w:tblLayout w:type="fixed"/>
        <w:tblLook w:firstColumn="1" w:firstRow="1" w:lastColumn="0" w:lastRow="0" w:noHBand="0" w:noVBand="1" w:val="04A0"/>
      </w:tblPr>
      <w:tblGrid>
        <w:gridCol w:w="4706"/>
        <w:gridCol w:w="4706"/>
      </w:tblGrid>
      <w:tr>
        <w:tc>
          <w:tcPr>
            <w:tcW w:type="dxa" w:w="4706"/>
            <w:shd w:val="clear" w:color="auto" w:fill="F2FBF7"/>
          </w:tcPr>
          <w:p>
            <w:r>
              <w:rPr>
                <w:b/>
                <w:i w:val="0"/>
                <w:color w:val="0C2317"/>
                <w:sz w:val="16"/>
              </w:rPr>
              <w:t>Signature de l'auditeur</w:t>
            </w:r>
          </w:p>
        </w:tc>
        <w:tc>
          <w:tcPr>
            <w:tcW w:type="dxa" w:w="4706"/>
            <w:shd w:val="clear" w:color="auto" w:fill="F2FBF7"/>
          </w:tcPr>
          <w:p>
            <w:r>
              <w:rPr>
                <w:b/>
                <w:i w:val="0"/>
                <w:color w:val="0C2317"/>
                <w:sz w:val="16"/>
              </w:rPr>
              <w:t>Signature du client audité</w:t>
            </w:r>
          </w:p>
        </w:tc>
      </w:tr>
      <w:tr>
        <w:tc>
          <w:tcPr>
            <w:tcW w:type="dxa" w:w="4706"/>
          </w:tcPr>
          <w:p>
            <w:r>
              <w:rPr>
                <w:b/>
                <w:i w:val="0"/>
                <w:color w:val="33403B"/>
                <w:sz w:val="18"/>
              </w:rPr>
              <w:t>—</w:t>
            </w:r>
          </w:p>
          <w:p>
            <w:r>
              <w:rPr>
                <w:b w:val="0"/>
                <w:i w:val="0"/>
                <w:color w:val="6B7F78"/>
                <w:sz w:val="18"/>
              </w:rPr>
              <w:t>Cabinet non renseigné</w:t>
            </w:r>
          </w:p>
        </w:tc>
        <w:tc>
          <w:tcPr>
            <w:tcW w:type="dxa" w:w="4706"/>
          </w:tcPr>
          <w:p>
            <w:r>
              <w:rPr>
                <w:b/>
                <w:i w:val="0"/>
                <w:color w:val="33403B"/>
                <w:sz w:val="18"/>
              </w:rPr>
              <w:t>DSI / Responsable de la sécurité</w:t>
            </w:r>
          </w:p>
          <w:p>
            <w:r>
              <w:rPr>
                <w:b w:val="0"/>
                <w:i w:val="0"/>
                <w:color w:val="6B7F78"/>
                <w:sz w:val="18"/>
              </w:rPr>
              <w:t>Banque Aurore SA</w:t>
            </w:r>
          </w:p>
        </w:tc>
      </w:tr>
    </w:tbl>
    <w:sectPr w:rsidR="00FC693F" w:rsidRPr="0006063C" w:rsidSect="00034616">
      <w:footerReference w:type="default" r:id="rId10"/>
      <w:pgSz w:w="11906" w:h="16838"/>
      <w:pgMar w:top="907"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33403B"/>
        <w:sz w:val="14"/>
      </w:rPr>
      <w:t>GREEN SHIELD — Cabinet non renseigné · Document confidentiel, ne pas diffuser sans autorisation écrite.</w:t>
    </w:r>
  </w:p>
  <w:p>
    <w:pPr>
      <w:jc w:val="center"/>
    </w:pPr>
    <w:r>
      <w:rPr>
        <w:b w:val="0"/>
        <w:i w:val="0"/>
        <w:color w:val="33403B"/>
        <w:sz w:val="13"/>
      </w:rPr>
      <w:t>Empreinte SHA-256 de l'état de la mission à l'édition : 3ca73107646057080ff79d158338146604cc78d5156216c6344a97bdc48dabe0</w:t>
    </w:r>
  </w:p>
  <w:p>
    <w:pPr>
      <w:jc w:val="center"/>
    </w:pPr>
    <w:r>
      <w:rPr>
        <w:b w:val="0"/>
        <w:i/>
        <w:color w:val="33403B"/>
        <w:sz w:val="13"/>
      </w:rPr>
      <w:t>Toute modification ultérieure de la mission, même rétablie, produit une empreinte différente.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0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