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Analyse de risques cyber (orientation EBIOS RM)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Vernier Composites SAS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sécurité &amp; analyse de risque EBIOS RM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audit_de_securite_et_analyse_de_risque_ebios_rm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Méthode : </w:t>
            </w:r>
            <w:r>
              <w:rPr>
                <w:b/>
                <w:i w:val="0"/>
                <w:color w:val="EAF4F0"/>
                <w:sz w:val="17"/>
              </w:rPr>
              <w:t>EBIOS RM · ANSSI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31/07/2026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i w:val="0"/>
          <w:color w:val="0C2317"/>
          <w:sz w:val="26"/>
        </w:rPr>
        <w:t>Sommaire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1.  </w:t>
      </w:r>
      <w:r>
        <w:rPr>
          <w:b w:val="0"/>
          <w:i w:val="0"/>
          <w:color w:val="33403B"/>
          <w:sz w:val="20"/>
        </w:rPr>
        <w:t>Cadrage et identification du patrimoine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2.  </w:t>
      </w:r>
      <w:r>
        <w:rPr>
          <w:b w:val="0"/>
          <w:i w:val="0"/>
          <w:color w:val="33403B"/>
          <w:sz w:val="20"/>
        </w:rPr>
        <w:t>Cartographie des menaces &amp; scénarios EBIOS RM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3.  </w:t>
      </w:r>
      <w:r>
        <w:rPr>
          <w:b w:val="0"/>
          <w:i w:val="0"/>
          <w:color w:val="33403B"/>
          <w:sz w:val="20"/>
        </w:rPr>
        <w:t>Écosystème et risques tiers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4.  </w:t>
      </w:r>
      <w:r>
        <w:rPr>
          <w:b w:val="0"/>
          <w:i w:val="0"/>
          <w:color w:val="33403B"/>
          <w:sz w:val="20"/>
        </w:rPr>
        <w:t>Plan d'action &amp; traitement</w:t>
      </w:r>
    </w:p>
    <w:p>
      <w:r>
        <w:br w:type="page"/>
      </w:r>
    </w:p>
    <w:p>
      <w:pPr>
        <w:spacing w:before="8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1. </w:t>
      </w:r>
      <w:r>
        <w:rPr>
          <w:b/>
          <w:i w:val="0"/>
          <w:color w:val="0C2317"/>
          <w:sz w:val="28"/>
        </w:rPr>
        <w:t>Cadrage et identification du patrimoine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Ce chapitre identifie le périmètre d'évaluation, les missions fondamentales de l'entreprise et cartographie le patrimoine d'actifs.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1.1 Valeurs métier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98"/>
        <w:gridCol w:w="2282"/>
        <w:gridCol w:w="4278"/>
        <w:gridCol w:w="1854"/>
      </w:tblGrid>
      <w:tr>
        <w:tc>
          <w:tcPr>
            <w:tcW w:type="dxa" w:w="9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28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Valeur métier</w:t>
            </w:r>
          </w:p>
        </w:tc>
        <w:tc>
          <w:tcPr>
            <w:tcW w:type="dxa" w:w="427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Description</w:t>
            </w:r>
          </w:p>
        </w:tc>
        <w:tc>
          <w:tcPr>
            <w:tcW w:type="dxa" w:w="185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Données personnelles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VM-01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Formulations et procédés composites (R&amp;D)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Recettes matières, courbes de cuisson, résultats d'essais destructifs. Actif le plus sensible de l'entreprise, non brevetable en l'état.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Non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VM-02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Dossiers de qualification client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Preuves de conformité aéronautique par lot, exigées lors des audits clients.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Non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VM-03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Données RH et paie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Contrats, bulletins, données de santé au travail des 204 salariés.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VM-04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Continuité de la ligne de production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Disponibilité des automates et du MES pilotant les 4 fours de cuisson.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Non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1.2 Biens supports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3"/>
        <w:gridCol w:w="2063"/>
        <w:gridCol w:w="1289"/>
        <w:gridCol w:w="3352"/>
        <w:gridCol w:w="1805"/>
      </w:tblGrid>
      <w:tr>
        <w:tc>
          <w:tcPr>
            <w:tcW w:type="dxa" w:w="90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06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Bien support</w:t>
            </w:r>
          </w:p>
        </w:tc>
        <w:tc>
          <w:tcPr>
            <w:tcW w:type="dxa" w:w="1289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Type</w:t>
            </w:r>
          </w:p>
        </w:tc>
        <w:tc>
          <w:tcPr>
            <w:tcW w:type="dxa" w:w="335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Description</w:t>
            </w:r>
          </w:p>
        </w:tc>
        <w:tc>
          <w:tcPr>
            <w:tcW w:type="dxa" w:w="18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Responsable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BS-01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Active Directory (2 contrôleurs de domaine)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Annuaire unique, forêt à domaine unique, niveau fonctionnel 2016.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Infrastructure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BS-02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Serveur de fichiers R&amp;D (NAS)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Matériel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Stocke les formulations. Partage SMB, pas de chiffrement au repos.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R&amp;D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BS-03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MES et automates de cuisson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Matériel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Réseau OT à plat, non segmenté du réseau bureautique.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Production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BS-04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Postes de travail (168 postes Windows 11)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Matériel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Parc géré par GPO, sans EDR à ce jour.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Support IT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BS-05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Messagerie Microsoft 365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Tenant unique, MFA activé pour les seuls administrateurs.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Infrastructure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BS-06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Sauvegardes Veeam sur NAS secondaire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Matériel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Sauvegarde quotidienne, même VLAN que la production, pas de copie hors site.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Infrastructure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2. </w:t>
      </w:r>
      <w:r>
        <w:rPr>
          <w:b/>
          <w:i w:val="0"/>
          <w:color w:val="0C2317"/>
          <w:sz w:val="28"/>
        </w:rPr>
        <w:t>Cartographie des menaces &amp; scénarios EBIOS RM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2.1 Événements redoutés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98"/>
        <w:gridCol w:w="3137"/>
        <w:gridCol w:w="1255"/>
        <w:gridCol w:w="3922"/>
      </w:tblGrid>
      <w:tr>
        <w:tc>
          <w:tcPr>
            <w:tcW w:type="dxa" w:w="10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3137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Événement redouté</w:t>
            </w:r>
          </w:p>
        </w:tc>
        <w:tc>
          <w:tcPr>
            <w:tcW w:type="dxa" w:w="1255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Gravité</w:t>
            </w:r>
          </w:p>
        </w:tc>
        <w:tc>
          <w:tcPr>
            <w:tcW w:type="dxa" w:w="392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Impacts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ER-01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Chiffrement du SI de production par rançongiciel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Arrêt des 4 fours de cuisson, 38 k€/jour ouvré, pénalités de retard contractuelles au-delà de 5 jours.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ER-02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Exfiltration des formulations composites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Perte définitive de l'avantage concurrentiel : les formulations ne sont pas brevetées et leur valeur repose entièrement sur le secret.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ER-03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Falsification d'un dossier de qualification client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Perte de la qualification aéronautique, exclusion de la chaîne d'approvisionnement du donneur d'ordre.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ER-04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Divulgation des données de santé au travail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Atteinte grave à la vie privée de salariés identifiables, sanction CNIL, conflit social.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2.2 Sources de risque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402"/>
        <w:gridCol w:w="4005"/>
        <w:gridCol w:w="4005"/>
      </w:tblGrid>
      <w:tr>
        <w:tc>
          <w:tcPr>
            <w:tcW w:type="dxa" w:w="140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40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Source de risque</w:t>
            </w:r>
          </w:p>
        </w:tc>
        <w:tc>
          <w:tcPr>
            <w:tcW w:type="dxa" w:w="40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Objectif visé</w:t>
            </w:r>
          </w:p>
        </w:tc>
      </w:tr>
      <w:tr>
        <w:tc>
          <w:tcPr>
            <w:tcW w:type="dxa" w:w="140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SR-01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Groupe cybercriminel opérant en rançongiciel-as-a-service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Extorsion par double peine : chiffrement puis menace de publication.</w:t>
            </w:r>
          </w:p>
        </w:tc>
      </w:tr>
      <w:tr>
        <w:tc>
          <w:tcPr>
            <w:tcW w:type="dxa" w:w="140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SR-02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Concurrent étranger via prestataire de maintenance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Captation des formulations pour combler un retard technologique.</w:t>
            </w:r>
          </w:p>
        </w:tc>
      </w:tr>
      <w:tr>
        <w:tc>
          <w:tcPr>
            <w:tcW w:type="dxa" w:w="140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SR-03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Salarié en partance vers un concurrent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Emport de dossiers R&amp;D à des fins d'embauche.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2.3 Scénarios opérationnels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41"/>
        <w:gridCol w:w="3496"/>
        <w:gridCol w:w="740"/>
        <w:gridCol w:w="740"/>
        <w:gridCol w:w="3496"/>
      </w:tblGrid>
      <w:tr>
        <w:tc>
          <w:tcPr>
            <w:tcW w:type="dxa" w:w="94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34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Scénario opérationnel</w:t>
            </w:r>
          </w:p>
        </w:tc>
        <w:tc>
          <w:tcPr>
            <w:tcW w:type="dxa" w:w="740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G</w:t>
            </w:r>
          </w:p>
        </w:tc>
        <w:tc>
          <w:tcPr>
            <w:tcW w:type="dxa" w:w="740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V</w:t>
            </w:r>
          </w:p>
        </w:tc>
        <w:tc>
          <w:tcPr>
            <w:tcW w:type="dxa" w:w="34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Mesure d'atténuation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SO-01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Hameçonnage d'un poste bureautique (BS-04, sans EDR) → récupération d'identifiants → élévation de privilèges sur l'AD (BS-01) → propagation vers le MES (BS-03) faute de segmentation OT/IT → chiffrement, y compris des sauvegardes (BS-06) placées sur le même VLAN.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Déploiement EDR, MFA généralisé, segmentation OT/IT, sauvegarde immuable hors site.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SO-02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Compromission du compte VPN du prestataire de maintenance des fours → rebond vers le NAS R&amp;D (BS-02) dont le partage SMB est accessible sans cloisonnement → copie des formulations.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2/5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VPN nominatif par prestataire, MFA obligatoire, restriction d'accès au NAS R&amp;D par groupe AD, journalisation des accès.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SO-03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Salarié R&amp;D copiant les formulations sur un support amovible avant son départ, aucun contrôle des périphériques USB n'étant en place.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Blocage USB par GPO sauf dérogation, journalisation des copies volumineuses, clause de confidentialité renforcée.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SO-04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Accès illégitime au NVR de vidéoprotection depuis le VLAN bureautique, faute de segmentation.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2/5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VLAN dédié au NVR, authentification nominative, journalisation des consultations.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2.3bis Traitement des risques (propriétaire, résiduel, décision)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243"/>
        <w:gridCol w:w="2664"/>
        <w:gridCol w:w="1776"/>
        <w:gridCol w:w="1953"/>
        <w:gridCol w:w="1776"/>
      </w:tblGrid>
      <w:tr>
        <w:tc>
          <w:tcPr>
            <w:tcW w:type="dxa" w:w="124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66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Propriétaire</w:t>
            </w:r>
          </w:p>
        </w:tc>
        <w:tc>
          <w:tcPr>
            <w:tcW w:type="dxa" w:w="177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Résiduel (G/V)</w:t>
            </w:r>
          </w:p>
        </w:tc>
        <w:tc>
          <w:tcPr>
            <w:tcW w:type="dxa" w:w="195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Stratégie</w:t>
            </w:r>
          </w:p>
        </w:tc>
        <w:tc>
          <w:tcPr>
            <w:tcW w:type="dxa" w:w="177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Statut</w:t>
            </w:r>
          </w:p>
        </w:tc>
      </w:tr>
      <w:tr>
        <w:tc>
          <w:tcPr>
            <w:tcW w:type="dxa" w:w="124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SO-01</w:t>
            </w:r>
          </w:p>
        </w:tc>
        <w:tc>
          <w:tcPr>
            <w:tcW w:type="dxa" w:w="266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3/2</w:t>
            </w:r>
          </w:p>
        </w:tc>
        <w:tc>
          <w:tcPr>
            <w:tcW w:type="dxa" w:w="19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Réduire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En traitement</w:t>
            </w:r>
          </w:p>
        </w:tc>
      </w:tr>
      <w:tr>
        <w:tc>
          <w:tcPr>
            <w:tcW w:type="dxa" w:w="124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SO-02</w:t>
            </w:r>
          </w:p>
        </w:tc>
        <w:tc>
          <w:tcPr>
            <w:tcW w:type="dxa" w:w="266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3/1</w:t>
            </w:r>
          </w:p>
        </w:tc>
        <w:tc>
          <w:tcPr>
            <w:tcW w:type="dxa" w:w="19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Réduire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Ouvert</w:t>
            </w:r>
          </w:p>
        </w:tc>
      </w:tr>
      <w:tr>
        <w:tc>
          <w:tcPr>
            <w:tcW w:type="dxa" w:w="124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SO-03</w:t>
            </w:r>
          </w:p>
        </w:tc>
        <w:tc>
          <w:tcPr>
            <w:tcW w:type="dxa" w:w="266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Direction R&amp;D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4/2</w:t>
            </w:r>
          </w:p>
        </w:tc>
        <w:tc>
          <w:tcPr>
            <w:tcW w:type="dxa" w:w="19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Réduire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Ouvert</w:t>
            </w:r>
          </w:p>
        </w:tc>
      </w:tr>
      <w:tr>
        <w:tc>
          <w:tcPr>
            <w:tcW w:type="dxa" w:w="124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SO-04</w:t>
            </w:r>
          </w:p>
        </w:tc>
        <w:tc>
          <w:tcPr>
            <w:tcW w:type="dxa" w:w="266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Sûreté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1/1</w:t>
            </w:r>
          </w:p>
        </w:tc>
        <w:tc>
          <w:tcPr>
            <w:tcW w:type="dxa" w:w="19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Accepter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Traité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2.4 Cas réels versés au dossier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12"/>
        <w:gridCol w:w="6400"/>
      </w:tblGrid>
      <w:tr>
        <w:tc>
          <w:tcPr>
            <w:tcW w:type="dxa" w:w="301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Cas réel</w:t>
            </w:r>
          </w:p>
        </w:tc>
        <w:tc>
          <w:tcPr>
            <w:tcW w:type="dxa" w:w="640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Enseignement retenu pour ce client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Norsk Hydro (2019) — rançongiciel LockerGoga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Industriel comparable : la propagation IT vers OT a arrêté la production faute de segmentation. La transparence publique a limité l'atteinte réputationnelle.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ASML / employé exfiltrant des données (2023)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La menace interne sur la propriété intellectuelle industrielle est réelle et ne se traite pas par des mesures périmétriques.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Fuite de données de santé — laboratoires français (2021)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Les données de santé mal cloisonnées finissent en accès ouvert ; la sanction porte sur le défaut de mesures, pas sur l'attaque.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3. </w:t>
      </w:r>
      <w:r>
        <w:rPr>
          <w:b/>
          <w:i w:val="0"/>
          <w:color w:val="0C2317"/>
          <w:sz w:val="28"/>
        </w:rPr>
        <w:t>Écosystème et risques tiers</w:t>
      </w:r>
    </w:p>
    <w:p>
      <w:r>
        <w:rPr>
          <w:b w:val="0"/>
          <w:i w:val="0"/>
          <w:color w:val="6B7F78"/>
          <w:sz w:val="18"/>
        </w:rPr>
        <w:t>Criticité selon la formule ANSSI : (dépendance × pénétration) / (maturité × confiance).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25"/>
        <w:gridCol w:w="1849"/>
        <w:gridCol w:w="1513"/>
        <w:gridCol w:w="3025"/>
      </w:tblGrid>
      <w:tr>
        <w:tc>
          <w:tcPr>
            <w:tcW w:type="dxa" w:w="302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Tiers</w:t>
            </w:r>
          </w:p>
        </w:tc>
        <w:tc>
          <w:tcPr>
            <w:tcW w:type="dxa" w:w="1849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Criticité</w:t>
            </w:r>
          </w:p>
        </w:tc>
        <w:tc>
          <w:tcPr>
            <w:tcW w:type="dxa" w:w="1513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Ratio</w:t>
            </w:r>
          </w:p>
        </w:tc>
        <w:tc>
          <w:tcPr>
            <w:tcW w:type="dxa" w:w="3025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Dép. / Pén. / Mat. / Conf.</w:t>
            </w:r>
          </w:p>
        </w:tc>
      </w:tr>
      <w:tr>
        <w:tc>
          <w:tcPr>
            <w:tcW w:type="dxa" w:w="302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Prestataire maintenance automates (accès VPN permanent)</w:t>
            </w:r>
          </w:p>
        </w:tc>
        <w:tc>
          <w:tcPr>
            <w:tcW w:type="dxa" w:w="1849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513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4.17</w:t>
            </w:r>
          </w:p>
        </w:tc>
        <w:tc>
          <w:tcPr>
            <w:tcW w:type="dxa" w:w="302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5 / 5 / 2 / 3</w:t>
            </w:r>
          </w:p>
        </w:tc>
      </w:tr>
      <w:tr>
        <w:tc>
          <w:tcPr>
            <w:tcW w:type="dxa" w:w="302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Infogéreur poste de travail</w:t>
            </w:r>
          </w:p>
        </w:tc>
        <w:tc>
          <w:tcPr>
            <w:tcW w:type="dxa" w:w="1849"/>
            <w:tcBorders>
              <w:bottom w:val="single" w:sz="4" w:space="0" w:color="DFE7E3"/>
            </w:tcBorders>
            <w:shd w:val="clear" w:color="auto" w:fill="E8F4FD"/>
          </w:tcPr>
          <w:p>
            <w:r>
              <w:rPr>
                <w:b/>
                <w:i w:val="0"/>
                <w:color w:val="1D5F88"/>
                <w:sz w:val="17"/>
              </w:rPr>
              <w:t>Moyen</w:t>
            </w:r>
          </w:p>
        </w:tc>
        <w:tc>
          <w:tcPr>
            <w:tcW w:type="dxa" w:w="1513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1.33</w:t>
            </w:r>
          </w:p>
        </w:tc>
        <w:tc>
          <w:tcPr>
            <w:tcW w:type="dxa" w:w="302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 / 4 / 3 / 4</w:t>
            </w:r>
          </w:p>
        </w:tc>
      </w:tr>
      <w:tr>
        <w:tc>
          <w:tcPr>
            <w:tcW w:type="dxa" w:w="302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Hébergeur Microsoft 365</w:t>
            </w:r>
          </w:p>
        </w:tc>
        <w:tc>
          <w:tcPr>
            <w:tcW w:type="dxa" w:w="1849"/>
            <w:tcBorders>
              <w:bottom w:val="single" w:sz="4" w:space="0" w:color="DFE7E3"/>
            </w:tcBorders>
            <w:shd w:val="clear" w:color="auto" w:fill="EEF2F1"/>
          </w:tcPr>
          <w:p>
            <w:r>
              <w:rPr>
                <w:b/>
                <w:i w:val="0"/>
                <w:color w:val="62726D"/>
                <w:sz w:val="17"/>
              </w:rPr>
              <w:t>Faible</w:t>
            </w:r>
          </w:p>
        </w:tc>
        <w:tc>
          <w:tcPr>
            <w:tcW w:type="dxa" w:w="1513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0.8</w:t>
            </w:r>
          </w:p>
        </w:tc>
        <w:tc>
          <w:tcPr>
            <w:tcW w:type="dxa" w:w="302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5 / 4 / 5 / 5</w:t>
            </w:r>
          </w:p>
        </w:tc>
      </w:tr>
      <w:tr>
        <w:tc>
          <w:tcPr>
            <w:tcW w:type="dxa" w:w="302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Fournisseur de résines (portail EDI)</w:t>
            </w:r>
          </w:p>
        </w:tc>
        <w:tc>
          <w:tcPr>
            <w:tcW w:type="dxa" w:w="1849"/>
            <w:tcBorders>
              <w:bottom w:val="single" w:sz="4" w:space="0" w:color="DFE7E3"/>
            </w:tcBorders>
            <w:shd w:val="clear" w:color="auto" w:fill="EEF2F1"/>
          </w:tcPr>
          <w:p>
            <w:r>
              <w:rPr>
                <w:b/>
                <w:i w:val="0"/>
                <w:color w:val="62726D"/>
                <w:sz w:val="17"/>
              </w:rPr>
              <w:t>Faible</w:t>
            </w:r>
          </w:p>
        </w:tc>
        <w:tc>
          <w:tcPr>
            <w:tcW w:type="dxa" w:w="1513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0.67</w:t>
            </w:r>
          </w:p>
        </w:tc>
        <w:tc>
          <w:tcPr>
            <w:tcW w:type="dxa" w:w="302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 / 2 / 3 / 3</w:t>
            </w:r>
          </w:p>
        </w:tc>
      </w:tr>
      <w:tr>
        <w:tc>
          <w:tcPr>
            <w:tcW w:type="dxa" w:w="302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Cabinet d'expertise comptable</w:t>
            </w:r>
          </w:p>
        </w:tc>
        <w:tc>
          <w:tcPr>
            <w:tcW w:type="dxa" w:w="1849"/>
            <w:tcBorders>
              <w:bottom w:val="single" w:sz="4" w:space="0" w:color="DFE7E3"/>
            </w:tcBorders>
            <w:shd w:val="clear" w:color="auto" w:fill="EEF2F1"/>
          </w:tcPr>
          <w:p>
            <w:r>
              <w:rPr>
                <w:b/>
                <w:i w:val="0"/>
                <w:color w:val="62726D"/>
                <w:sz w:val="17"/>
              </w:rPr>
              <w:t>Faible</w:t>
            </w:r>
          </w:p>
        </w:tc>
        <w:tc>
          <w:tcPr>
            <w:tcW w:type="dxa" w:w="1513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0.17</w:t>
            </w:r>
          </w:p>
        </w:tc>
        <w:tc>
          <w:tcPr>
            <w:tcW w:type="dxa" w:w="302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2 / 1 / 3 / 4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4. </w:t>
      </w:r>
      <w:r>
        <w:rPr>
          <w:b/>
          <w:i w:val="0"/>
          <w:color w:val="0C2317"/>
          <w:sz w:val="28"/>
        </w:rPr>
        <w:t>Plan d'action &amp; traitement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Chaque mesure ci-dessous répond à un scénario ou à un écart constaté au chapitre 2.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4.1 Mesures priorisées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98"/>
        <w:gridCol w:w="1711"/>
        <w:gridCol w:w="1882"/>
        <w:gridCol w:w="4620"/>
      </w:tblGrid>
      <w:tr>
        <w:tc>
          <w:tcPr>
            <w:tcW w:type="dxa" w:w="11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171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Priorité</w:t>
            </w:r>
          </w:p>
        </w:tc>
        <w:tc>
          <w:tcPr>
            <w:tcW w:type="dxa" w:w="188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Axe</w:t>
            </w:r>
          </w:p>
        </w:tc>
        <w:tc>
          <w:tcPr>
            <w:tcW w:type="dxa" w:w="462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Mesure de traitement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REM-01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Protection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Segmenter le réseau OT du réseau bureautique (pare-feu industriel, flux autorisés en liste blanche) — traite SO-01 et SO-02.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REM-02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Résilience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Mettre en place une sauvegarde immuable hors site et tester la restauration complète du MES — traite ER-01.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REM-03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Protection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Généraliser le MFA à tous les comptes M365 et VPN, y compris prestataires — traite SO-01 et SO-02.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REM-04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F3E0"/>
          </w:tcPr>
          <w:p>
            <w:r>
              <w:rPr>
                <w:b/>
                <w:i w:val="0"/>
                <w:color w:val="8A5B00"/>
                <w:sz w:val="17"/>
              </w:rPr>
              <w:t>Élevé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Défense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Déployer un EDR sur les 168 postes et les serveurs, avec supervision — traite SO-01.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F3E0"/>
          </w:tcPr>
          <w:p>
            <w:r>
              <w:rPr>
                <w:b/>
                <w:i w:val="0"/>
                <w:color w:val="8A5B00"/>
                <w:sz w:val="17"/>
              </w:rPr>
              <w:t>Élevé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Protection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Restreindre l'accès au NAS R&amp;D par groupe AD et bloquer les périphériques USB par GPO — traite SO-03.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REM-06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F3E0"/>
          </w:tcPr>
          <w:p>
            <w:r>
              <w:rPr>
                <w:b/>
                <w:i w:val="0"/>
                <w:color w:val="8A5B00"/>
                <w:sz w:val="17"/>
              </w:rPr>
              <w:t>Élevé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Gouvernance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Faire adopter la PSSI par la direction et nommer un référent sécurité à temps partiel — aucune gouvernance formalisée à ce jour.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REM-07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E8F4FD"/>
          </w:tcPr>
          <w:p>
            <w:r>
              <w:rPr>
                <w:b/>
                <w:i w:val="0"/>
                <w:color w:val="1D5F88"/>
                <w:sz w:val="17"/>
              </w:rPr>
              <w:t>Moyen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Défense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Centraliser les journaux (AD, pare-feu, M365, NVR) avec une rétention de 12 mois — traite SO-04 et conditionne toute investigation.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REM-08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E8F4FD"/>
          </w:tcPr>
          <w:p>
            <w:r>
              <w:rPr>
                <w:b/>
                <w:i w:val="0"/>
                <w:color w:val="1D5F88"/>
                <w:sz w:val="17"/>
              </w:rPr>
              <w:t>Moyen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Gouvernance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Mettre en place une revue trimestrielle des accès et un processus de départ salarié — traite SO-03.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4.1bis Pilotage (responsable, échéance, statut)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7"/>
        <w:gridCol w:w="2396"/>
        <w:gridCol w:w="1711"/>
        <w:gridCol w:w="1711"/>
        <w:gridCol w:w="2567"/>
      </w:tblGrid>
      <w:tr>
        <w:tc>
          <w:tcPr>
            <w:tcW w:type="dxa" w:w="1027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3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Responsable</w:t>
            </w:r>
          </w:p>
        </w:tc>
        <w:tc>
          <w:tcPr>
            <w:tcW w:type="dxa" w:w="171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Échéance</w:t>
            </w:r>
          </w:p>
        </w:tc>
        <w:tc>
          <w:tcPr>
            <w:tcW w:type="dxa" w:w="171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Statut</w:t>
            </w:r>
          </w:p>
        </w:tc>
        <w:tc>
          <w:tcPr>
            <w:tcW w:type="dxa" w:w="2567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Coût estimé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REM-01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2026-09-30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En cours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Moyen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REM-02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2026-09-15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Fait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Léger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REM-03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2026-09-01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En cours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Léger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REM-04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2026-11-30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Élevé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REM-05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2026-09-30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Négligeable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REM-06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Direction Générale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2026-10-15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Négligeable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REM-07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2026-12-15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Moyen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REM-08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2026-10-01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Négligeable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4.2 Actions immédiates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Activer le MFA sur la messagerie et le VPN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Changer les mots de passe d'administration par défaut des automates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Sortir une copie de sauvegarde du VLAN de production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Sensibiliser les 204 salariés à l'hameçonnage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Appliquer les correctifs critiques en attente sur les 2 contrôleurs de domaine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Retirer les droits d'administrateur local aux utilisateurs standards</w:t>
      </w:r>
    </w:p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3f8c7353af2c4f522229844da36ed26930d954c9c089d7d0acb546d16be17ec5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