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Banque Aurore SA,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Banque Aurore SA.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SHA256:870d095ccce86180b4371c414e51921b436ce7160191eb6b8b033d69f8406603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31/07/2026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870d095ccce86180b4371c414e51921b436ce7160191eb6b8b033d69f8406603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