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4571" w:hRule="atLeast"/>
        </w:trPr>
        <w:tc>
          <w:tcPr>
            <w:tcW w:type="dxa" w:w="9412"/>
            <w:vAlign w:val="center"/>
            <w:shd w:val="clear" w:color="auto" w:fill="04150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FFFFFF"/>
                <w:sz w:val="26"/>
              </w:rPr>
              <w:t>GREEN SHIELD</w:t>
            </w:r>
          </w:p>
          <w:p>
            <w:pPr>
              <w:jc w:val="center"/>
            </w:pPr>
            <w:r>
              <w:rPr>
                <w:b w:val="0"/>
                <w:i/>
                <w:color w:val="7BF3C8"/>
                <w:sz w:val="18"/>
              </w:rPr>
              <w:t>Cabinet non renseigné</w:t>
            </w:r>
          </w:p>
          <w:p>
            <w:pPr>
              <w:spacing w:before="560"/>
              <w:jc w:val="center"/>
            </w:pPr>
            <w:r>
              <w:rPr>
                <w:b/>
                <w:i w:val="0"/>
                <w:color w:val="FFFFFF"/>
                <w:sz w:val="44"/>
              </w:rPr>
              <w:t>Analyse de risques cyber (orientation EBIOS RM)</w:t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2EE6A0"/>
                <w:sz w:val="28"/>
              </w:rPr>
              <w:t>Banque Aurore SA</w:t>
            </w:r>
          </w:p>
          <w:p>
            <w:pPr>
              <w:jc w:val="center"/>
            </w:pPr>
            <w:r>
              <w:rPr>
                <w:b w:val="0"/>
                <w:i w:val="0"/>
                <w:color w:val="A8C6BC"/>
                <w:sz w:val="20"/>
              </w:rPr>
              <w:t>Audit de conformité ISO 27001 &amp; DORA</w:t>
            </w:r>
          </w:p>
          <w:p>
            <w:pPr>
              <w:spacing w:before="400"/>
              <w:jc w:val="center"/>
            </w:pPr>
            <w:r>
              <w:rPr>
                <w:b w:val="0"/>
                <w:i w:val="0"/>
                <w:color w:val="8FB3A8"/>
                <w:sz w:val="17"/>
              </w:rPr>
              <w:t xml:space="preserve">Réf. mission : </w:t>
            </w:r>
            <w:r>
              <w:rPr>
                <w:b/>
                <w:i w:val="0"/>
                <w:color w:val="EAF4F0"/>
                <w:sz w:val="17"/>
              </w:rPr>
              <w:t>audit_de_conformite_iso_27001_et_dora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Méthode : </w:t>
            </w:r>
            <w:r>
              <w:rPr>
                <w:b/>
                <w:i w:val="0"/>
                <w:color w:val="EAF4F0"/>
                <w:sz w:val="17"/>
              </w:rPr>
              <w:t>EBIOS RM · ANSSI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Auditeur : </w:t>
            </w:r>
            <w:r>
              <w:rPr>
                <w:b/>
                <w:i w:val="0"/>
                <w:color w:val="EAF4F0"/>
                <w:sz w:val="17"/>
              </w:rPr>
              <w:t>—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Cabinet : </w:t>
            </w:r>
            <w:r>
              <w:rPr>
                <w:b/>
                <w:i w:val="0"/>
                <w:color w:val="EAF4F0"/>
                <w:sz w:val="17"/>
              </w:rPr>
              <w:t>Cabinet non renseigné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Édité le : </w:t>
            </w:r>
            <w:r>
              <w:rPr>
                <w:b/>
                <w:i w:val="0"/>
                <w:color w:val="EAF4F0"/>
                <w:sz w:val="17"/>
              </w:rPr>
              <w:t>31/07/2026</w:t>
            </w:r>
          </w:p>
          <w:p>
            <w:pPr>
              <w:spacing w:before="360"/>
              <w:jc w:val="center"/>
            </w:pPr>
            <w:r>
              <w:rPr>
                <w:b/>
                <w:i w:val="0"/>
                <w:color w:val="7BF3C8"/>
                <w:sz w:val="16"/>
              </w:rPr>
              <w:t xml:space="preserve">  DOCUMENT CONFIDENTIEL — DIFFUSION RESTREINTE  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i w:val="0"/>
          <w:color w:val="0C2317"/>
          <w:sz w:val="26"/>
        </w:rPr>
        <w:t>Sommaire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1.  </w:t>
      </w:r>
      <w:r>
        <w:rPr>
          <w:b w:val="0"/>
          <w:i w:val="0"/>
          <w:color w:val="33403B"/>
          <w:sz w:val="20"/>
        </w:rPr>
        <w:t>Cadrage et identification du patrimoine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2.  </w:t>
      </w:r>
      <w:r>
        <w:rPr>
          <w:b w:val="0"/>
          <w:i w:val="0"/>
          <w:color w:val="33403B"/>
          <w:sz w:val="20"/>
        </w:rPr>
        <w:t>Cartographie des menaces &amp; scénarios EBIOS RM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3.  </w:t>
      </w:r>
      <w:r>
        <w:rPr>
          <w:b w:val="0"/>
          <w:i w:val="0"/>
          <w:color w:val="33403B"/>
          <w:sz w:val="20"/>
        </w:rPr>
        <w:t>Écosystème et risques tiers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4.  </w:t>
      </w:r>
      <w:r>
        <w:rPr>
          <w:b w:val="0"/>
          <w:i w:val="0"/>
          <w:color w:val="33403B"/>
          <w:sz w:val="20"/>
        </w:rPr>
        <w:t>Plan d'action &amp; traitement</w:t>
      </w:r>
    </w:p>
    <w:p>
      <w:r>
        <w:br w:type="page"/>
      </w:r>
    </w:p>
    <w:p>
      <w:pPr>
        <w:spacing w:before="8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1. </w:t>
      </w:r>
      <w:r>
        <w:rPr>
          <w:b/>
          <w:i w:val="0"/>
          <w:color w:val="0C2317"/>
          <w:sz w:val="28"/>
        </w:rPr>
        <w:t>Cadrage et identification du patrimoine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Ce chapitre identifie le périmètre d'évaluation, les missions fondamentales de l'entreprise et cartographie le patrimoine d'actifs.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1.1 Valeurs métier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8"/>
        <w:gridCol w:w="2282"/>
        <w:gridCol w:w="4278"/>
        <w:gridCol w:w="1854"/>
      </w:tblGrid>
      <w:tr>
        <w:tc>
          <w:tcPr>
            <w:tcW w:type="dxa" w:w="9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28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Valeur métier</w:t>
            </w:r>
          </w:p>
        </w:tc>
        <w:tc>
          <w:tcPr>
            <w:tcW w:type="dxa" w:w="427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Description</w:t>
            </w:r>
          </w:p>
        </w:tc>
        <w:tc>
          <w:tcPr>
            <w:tcW w:type="dxa" w:w="1854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Données personnelles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VM-01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Comptes et soldes clients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Registre des positions clients, cœur du système bancaire.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Oui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VM-02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Service de paiement instantané (SCT Inst)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Fonction critique au sens DORA — indisponibilité immédiatement visible du client.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Oui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VM-03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Dossiers de crédit et scoring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Décisions automatisées avec effet juridique (RGPD Art. 22).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Oui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VM-04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Piste d'audit réglementaire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Traçabilité exigée par l'ACPR, intégrité opposable.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Oui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1.2 Biens supports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3"/>
        <w:gridCol w:w="2063"/>
        <w:gridCol w:w="1289"/>
        <w:gridCol w:w="3352"/>
        <w:gridCol w:w="1805"/>
      </w:tblGrid>
      <w:tr>
        <w:tc>
          <w:tcPr>
            <w:tcW w:type="dxa" w:w="90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06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Bien support</w:t>
            </w:r>
          </w:p>
        </w:tc>
        <w:tc>
          <w:tcPr>
            <w:tcW w:type="dxa" w:w="1289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Type</w:t>
            </w:r>
          </w:p>
        </w:tc>
        <w:tc>
          <w:tcPr>
            <w:tcW w:type="dxa" w:w="335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Description</w:t>
            </w:r>
          </w:p>
        </w:tc>
        <w:tc>
          <w:tcPr>
            <w:tcW w:type="dxa" w:w="180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Responsable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BS-01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Core banking system (éditeur externe)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Logiciel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Progiciel hébergé chez l'éditeur, version N-1.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BS-02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Plateforme de paiement SCT Inst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Logiciel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Interconnexion STET, disponibilité 24/7 exigée.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Directeur des Paiements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BS-03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Datacenter principal et site de repli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Matériel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Deux sites actifs/passifs distants de 40 km.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Responsable Production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BS-04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SIEM et collecte de journaux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Logiciel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Collecte 380 sources, rétention 12 mois.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BS-05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Poste de travail et messagerie (M365)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Logiciel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640 postes, MFA généralisé, EDR déployé.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2. </w:t>
      </w:r>
      <w:r>
        <w:rPr>
          <w:b/>
          <w:i w:val="0"/>
          <w:color w:val="0C2317"/>
          <w:sz w:val="28"/>
        </w:rPr>
        <w:t>Cartographie des menaces &amp; scénarios EBIOS RM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2.1 Événements redoutés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98"/>
        <w:gridCol w:w="3137"/>
        <w:gridCol w:w="1255"/>
        <w:gridCol w:w="3922"/>
      </w:tblGrid>
      <w:tr>
        <w:tc>
          <w:tcPr>
            <w:tcW w:type="dxa" w:w="10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3137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Événement redouté</w:t>
            </w:r>
          </w:p>
        </w:tc>
        <w:tc>
          <w:tcPr>
            <w:tcW w:type="dxa" w:w="1255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Gravité</w:t>
            </w:r>
          </w:p>
        </w:tc>
        <w:tc>
          <w:tcPr>
            <w:tcW w:type="dxa" w:w="392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Impacts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ER-01</w:t>
            </w:r>
          </w:p>
        </w:tc>
        <w:tc>
          <w:tcPr>
            <w:tcW w:type="dxa" w:w="313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Indisponibilité prolongée du paiement instantané</w:t>
            </w:r>
          </w:p>
        </w:tc>
        <w:tc>
          <w:tcPr>
            <w:tcW w:type="dxa" w:w="125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39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Fonction critique DORA interrompue, notification ACPR sous 4 h, atteinte de réputation immédiate.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ER-02</w:t>
            </w:r>
          </w:p>
        </w:tc>
        <w:tc>
          <w:tcPr>
            <w:tcW w:type="dxa" w:w="313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Altération de l'intégrité des soldes clients</w:t>
            </w:r>
          </w:p>
        </w:tc>
        <w:tc>
          <w:tcPr>
            <w:tcW w:type="dxa" w:w="125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39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Perte de confiance systémique, reconstitution manuelle, risque prudentiel.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ER-03</w:t>
            </w:r>
          </w:p>
        </w:tc>
        <w:tc>
          <w:tcPr>
            <w:tcW w:type="dxa" w:w="313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Fuite du fichier clients (210 000 personnes)</w:t>
            </w:r>
          </w:p>
        </w:tc>
        <w:tc>
          <w:tcPr>
            <w:tcW w:type="dxa" w:w="125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39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Notification CNIL sous 72 h et information individuelle, sanction possible, action de groupe.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2.2 Sources de risque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02"/>
        <w:gridCol w:w="4005"/>
        <w:gridCol w:w="4005"/>
      </w:tblGrid>
      <w:tr>
        <w:tc>
          <w:tcPr>
            <w:tcW w:type="dxa" w:w="140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400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Source de risque</w:t>
            </w:r>
          </w:p>
        </w:tc>
        <w:tc>
          <w:tcPr>
            <w:tcW w:type="dxa" w:w="400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Objectif visé</w:t>
            </w:r>
          </w:p>
        </w:tc>
      </w:tr>
      <w:tr>
        <w:tc>
          <w:tcPr>
            <w:tcW w:type="dxa" w:w="140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SR-01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Groupe criminel spécialisé secteur financier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Fraude au virement et extorsion.</w:t>
            </w:r>
          </w:p>
        </w:tc>
      </w:tr>
      <w:tr>
        <w:tc>
          <w:tcPr>
            <w:tcW w:type="dxa" w:w="140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SR-02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Compromission de la chaîne d'approvisionnement (éditeur core banking)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Accès indirect au SI bancaire via une mise à jour piégée.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2.3 Scénarios opérationnels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"/>
        <w:gridCol w:w="3496"/>
        <w:gridCol w:w="740"/>
        <w:gridCol w:w="740"/>
        <w:gridCol w:w="3496"/>
      </w:tblGrid>
      <w:tr>
        <w:tc>
          <w:tcPr>
            <w:tcW w:type="dxa" w:w="94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349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Scénario opérationnel</w:t>
            </w:r>
          </w:p>
        </w:tc>
        <w:tc>
          <w:tcPr>
            <w:tcW w:type="dxa" w:w="740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G</w:t>
            </w:r>
          </w:p>
        </w:tc>
        <w:tc>
          <w:tcPr>
            <w:tcW w:type="dxa" w:w="740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V</w:t>
            </w:r>
          </w:p>
        </w:tc>
        <w:tc>
          <w:tcPr>
            <w:tcW w:type="dxa" w:w="349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Mesure d'atténuation</w:t>
            </w:r>
          </w:p>
        </w:tc>
      </w:tr>
      <w:tr>
        <w:tc>
          <w:tcPr>
            <w:tcW w:type="dxa" w:w="94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SO-01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Mise à jour piégée du core banking (BS-01) livrée par l'éditeur → exécution en production → accès aux comptes clients (VM-01) et altération des soldes.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2/5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Vérification d'intégrité des livraisons éditeur, environnement de pré-production isolé, revue de code des correctifs critiques.</w:t>
            </w:r>
          </w:p>
        </w:tc>
      </w:tr>
      <w:tr>
        <w:tc>
          <w:tcPr>
            <w:tcW w:type="dxa" w:w="94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SO-02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Saturation volumétrique de la plateforme SCT Inst (BS-02) via l'interconnexion STET → indisponibilité de la fonction critique DORA.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3/5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Limitation de débit en amont, bascule sur le site de repli testée trimestriellement, procédure de dégradation maîtrisée.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2.3bis Traitement des risques (propriétaire, résiduel, décision)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3"/>
        <w:gridCol w:w="2664"/>
        <w:gridCol w:w="1776"/>
        <w:gridCol w:w="1953"/>
        <w:gridCol w:w="1776"/>
      </w:tblGrid>
      <w:tr>
        <w:tc>
          <w:tcPr>
            <w:tcW w:type="dxa" w:w="124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664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Propriétaire</w:t>
            </w:r>
          </w:p>
        </w:tc>
        <w:tc>
          <w:tcPr>
            <w:tcW w:type="dxa" w:w="177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Résiduel (G/V)</w:t>
            </w:r>
          </w:p>
        </w:tc>
        <w:tc>
          <w:tcPr>
            <w:tcW w:type="dxa" w:w="195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Stratégie</w:t>
            </w:r>
          </w:p>
        </w:tc>
        <w:tc>
          <w:tcPr>
            <w:tcW w:type="dxa" w:w="177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</w:tr>
      <w:tr>
        <w:tc>
          <w:tcPr>
            <w:tcW w:type="dxa" w:w="124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SO-01</w:t>
            </w:r>
          </w:p>
        </w:tc>
        <w:tc>
          <w:tcPr>
            <w:tcW w:type="dxa" w:w="266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3/1</w:t>
            </w:r>
          </w:p>
        </w:tc>
        <w:tc>
          <w:tcPr>
            <w:tcW w:type="dxa" w:w="19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Réduire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En traitement</w:t>
            </w:r>
          </w:p>
        </w:tc>
      </w:tr>
      <w:tr>
        <w:tc>
          <w:tcPr>
            <w:tcW w:type="dxa" w:w="124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SO-02</w:t>
            </w:r>
          </w:p>
        </w:tc>
        <w:tc>
          <w:tcPr>
            <w:tcW w:type="dxa" w:w="266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Directeur des Paiements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3/2</w:t>
            </w:r>
          </w:p>
        </w:tc>
        <w:tc>
          <w:tcPr>
            <w:tcW w:type="dxa" w:w="19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Réduire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Ouvert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2.4 Cas réels versés au dossier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12"/>
        <w:gridCol w:w="6400"/>
      </w:tblGrid>
      <w:tr>
        <w:tc>
          <w:tcPr>
            <w:tcW w:type="dxa" w:w="30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Cas réel</w:t>
            </w:r>
          </w:p>
        </w:tc>
        <w:tc>
          <w:tcPr>
            <w:tcW w:type="dxa" w:w="640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Enseignement retenu pour ce client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Incident SolarWinds (2020)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La chaîne d'approvisionnement logicielle est un vecteur d'entrée légitime et signé — d'où l'exigence DORA de registre des prestataires.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Panne TSB (2018) — migration bancaire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Une bascule mal testée coûte plus cher qu'une attaque : le test de bascule est une exigence, pas une bonne pratique.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3. </w:t>
      </w:r>
      <w:r>
        <w:rPr>
          <w:b/>
          <w:i w:val="0"/>
          <w:color w:val="0C2317"/>
          <w:sz w:val="28"/>
        </w:rPr>
        <w:t>Écosystème et risques tiers</w:t>
      </w:r>
    </w:p>
    <w:p>
      <w:r>
        <w:rPr>
          <w:b w:val="0"/>
          <w:i w:val="0"/>
          <w:color w:val="6B7F78"/>
          <w:sz w:val="18"/>
        </w:rPr>
        <w:t>Ce volet ne produit aucun score de risque : ni DORA ni NIS2 ne se réclament d'EBIOS RM. La conformité se démontre par des preuves.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80"/>
        <w:gridCol w:w="2567"/>
        <w:gridCol w:w="3765"/>
      </w:tblGrid>
      <w:tr>
        <w:tc>
          <w:tcPr>
            <w:tcW w:type="dxa" w:w="308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Prestataire</w:t>
            </w:r>
          </w:p>
        </w:tc>
        <w:tc>
          <w:tcPr>
            <w:tcW w:type="dxa" w:w="2567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Exigences satisfaites</w:t>
            </w:r>
          </w:p>
        </w:tc>
        <w:tc>
          <w:tcPr>
            <w:tcW w:type="dxa" w:w="376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Écarts restants</w:t>
            </w:r>
          </w:p>
        </w:tc>
      </w:tr>
      <w:tr>
        <w:tc>
          <w:tcPr>
            <w:tcW w:type="dxa" w:w="30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Éditeur core banking (prestataire critique)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2/4 (50 %)</w:t>
            </w:r>
          </w:p>
        </w:tc>
        <w:tc>
          <w:tcPr>
            <w:tcW w:type="dxa" w:w="376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Clauses contractuelles obligatoires signées (DORA Art. 30) ; Stratégie de sortie documentée et testable</w:t>
            </w:r>
          </w:p>
        </w:tc>
      </w:tr>
      <w:tr>
        <w:tc>
          <w:tcPr>
            <w:tcW w:type="dxa" w:w="30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Opérateur d'interconnexion STET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 (100 %)</w:t>
            </w:r>
          </w:p>
        </w:tc>
        <w:tc>
          <w:tcPr>
            <w:tcW w:type="dxa" w:w="376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Conforme</w:t>
            </w:r>
          </w:p>
        </w:tc>
      </w:tr>
      <w:tr>
        <w:tc>
          <w:tcPr>
            <w:tcW w:type="dxa" w:w="30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Hébergeur du site de repli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0/4 (0 %)</w:t>
            </w:r>
          </w:p>
        </w:tc>
        <w:tc>
          <w:tcPr>
            <w:tcW w:type="dxa" w:w="376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Inscrit au registre d'information (DORA Art. 28.3) ; Clauses contractuelles obligatoires signées (DORA Art. 30) ; Stratégie de sortie documentée et testable ; Évaluation réalisée avant acquisition (NIST ID.RA-10)</w:t>
            </w:r>
          </w:p>
        </w:tc>
      </w:tr>
      <w:tr>
        <w:tc>
          <w:tcPr>
            <w:tcW w:type="dxa" w:w="30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Prestataire d'infogérance poste de travail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0/4 (0 %)</w:t>
            </w:r>
          </w:p>
        </w:tc>
        <w:tc>
          <w:tcPr>
            <w:tcW w:type="dxa" w:w="376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Inscrit au registre d'information (DORA Art. 28.3) ; Clauses contractuelles obligatoires signées (DORA Art. 30) ; Stratégie de sortie documentée et testable ; Évaluation réalisée avant acquisition (NIST ID.RA-10)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4. </w:t>
      </w:r>
      <w:r>
        <w:rPr>
          <w:b/>
          <w:i w:val="0"/>
          <w:color w:val="0C2317"/>
          <w:sz w:val="28"/>
        </w:rPr>
        <w:t>Plan d'action &amp; traitement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Chaque mesure ci-dessous répond à un scénario ou à un écart constaté au chapitre 2.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4.1 Mesures priorisées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98"/>
        <w:gridCol w:w="1711"/>
        <w:gridCol w:w="1882"/>
        <w:gridCol w:w="4620"/>
      </w:tblGrid>
      <w:tr>
        <w:tc>
          <w:tcPr>
            <w:tcW w:type="dxa" w:w="11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171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Priorité</w:t>
            </w:r>
          </w:p>
        </w:tc>
        <w:tc>
          <w:tcPr>
            <w:tcW w:type="dxa" w:w="188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Axe</w:t>
            </w:r>
          </w:p>
        </w:tc>
        <w:tc>
          <w:tcPr>
            <w:tcW w:type="dxa" w:w="462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Mesure de traitement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REM-01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EAED"/>
          </w:tcPr>
          <w:p>
            <w:r>
              <w:rPr>
                <w:b/>
                <w:i w:val="0"/>
                <w:color w:val="A3243C"/>
                <w:sz w:val="17"/>
              </w:rPr>
              <w:t>Critique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Gouvernance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Formaliser la procédure de retrait des accès au départ et clôturer les 14 comptes actifs de sortants — écart ISO A.7.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REM-02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EAED"/>
          </w:tcPr>
          <w:p>
            <w:r>
              <w:rPr>
                <w:b/>
                <w:i w:val="0"/>
                <w:color w:val="A3243C"/>
                <w:sz w:val="17"/>
              </w:rPr>
              <w:t>Critique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Gouvernance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Compléter le registre d'information DORA (Art. 28.3) pour les 3 prestataires critiques manquants avant l'échéance ACPR.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REM-03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F3E0"/>
          </w:tcPr>
          <w:p>
            <w:r>
              <w:rPr>
                <w:b/>
                <w:i w:val="0"/>
                <w:color w:val="8A5B00"/>
                <w:sz w:val="17"/>
              </w:rPr>
              <w:t>Élevé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Rapprocher l'inventaire des actifs du parc réel et intégrer les 37 serveurs découverts — écart ISO A.8.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REM-04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F3E0"/>
          </w:tcPr>
          <w:p>
            <w:r>
              <w:rPr>
                <w:b/>
                <w:i w:val="0"/>
                <w:color w:val="8A5B00"/>
                <w:sz w:val="17"/>
              </w:rPr>
              <w:t>Élevé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Gouvernance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Documenter et tester une stratégie de sortie pour le prestataire core banking — exigence DORA.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E8F4FD"/>
          </w:tcPr>
          <w:p>
            <w:r>
              <w:rPr>
                <w:b/>
                <w:i w:val="0"/>
                <w:color w:val="1D5F88"/>
                <w:sz w:val="17"/>
              </w:rPr>
              <w:t>Moyen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Défense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Étendre la collecte SIEM aux journaux applicatifs du core banking, aujourd'hui absents des 380 sources.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4.1bis Pilotage (responsable, échéance, statut)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7"/>
        <w:gridCol w:w="2396"/>
        <w:gridCol w:w="1711"/>
        <w:gridCol w:w="1711"/>
        <w:gridCol w:w="2567"/>
      </w:tblGrid>
      <w:tr>
        <w:tc>
          <w:tcPr>
            <w:tcW w:type="dxa" w:w="1027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39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Responsable</w:t>
            </w:r>
          </w:p>
        </w:tc>
        <w:tc>
          <w:tcPr>
            <w:tcW w:type="dxa" w:w="171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Échéance</w:t>
            </w:r>
          </w:p>
        </w:tc>
        <w:tc>
          <w:tcPr>
            <w:tcW w:type="dxa" w:w="171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  <w:tc>
          <w:tcPr>
            <w:tcW w:type="dxa" w:w="2567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Coût estimé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REM-01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2026-09-15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En cours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Négligeable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REM-02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2026-09-30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Négligeable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REM-03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2026-11-15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Moyen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REM-04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2026-12-01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Négligeable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REM-05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2026-10-15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Moyen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4.2 Actions immédiates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Clôturer les 3 comptes à privilèges de personnes sorties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Publier la liste des prestataires critiques au registre DORA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Activer l'alerte SIEM sur création de compte à privilèges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Vérifier la couverture EDR des 37 serveurs découverts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Planifier le prochain test de bascule avec procès-verbal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Confirmer la clause de sortie du contrat core banking</w:t>
      </w:r>
    </w:p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33403B"/>
        <w:sz w:val="14"/>
      </w:rPr>
      <w:t>GREEN SHIELD — Cabinet non renseigné · Document confidentiel, ne pas diffuser sans autorisation écrite.</w:t>
    </w:r>
  </w:p>
  <w:p>
    <w:pPr>
      <w:jc w:val="center"/>
    </w:pPr>
    <w:r>
      <w:rPr>
        <w:b w:val="0"/>
        <w:i w:val="0"/>
        <w:color w:val="33403B"/>
        <w:sz w:val="13"/>
      </w:rPr>
      <w:t>Empreinte SHA-256 de l'état de la mission à l'édition : 870d095ccce86180b4371c414e51921b436ce7160191eb6b8b033d69f8406603</w:t>
    </w:r>
  </w:p>
  <w:p>
    <w:pPr>
      <w:jc w:val="center"/>
    </w:pPr>
    <w:r>
      <w:rPr>
        <w:b w:val="0"/>
        <w:i/>
        <w:color w:val="33403B"/>
        <w:sz w:val="13"/>
      </w:rPr>
      <w:t>Toute modification ultérieure de la mission, même rétablie, produit une empreinte différente.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