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14571" w:hRule="atLeast"/>
        </w:trPr>
        <w:tc>
          <w:tcPr>
            <w:tcW w:type="dxa" w:w="9412"/>
            <w:vAlign w:val="center"/>
            <w:shd w:val="clear" w:color="auto" w:fill="04150E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b/>
                <w:i w:val="0"/>
                <w:color w:val="FFFFFF"/>
                <w:sz w:val="26"/>
              </w:rPr>
              <w:t>GREEN SHIELD</w:t>
            </w:r>
          </w:p>
          <w:p>
            <w:pPr>
              <w:jc w:val="center"/>
            </w:pPr>
            <w:r>
              <w:rPr>
                <w:b w:val="0"/>
                <w:i/>
                <w:color w:val="7BF3C8"/>
                <w:sz w:val="18"/>
              </w:rPr>
              <w:t>Cabinet non renseigné</w:t>
            </w:r>
          </w:p>
          <w:p>
            <w:pPr>
              <w:spacing w:before="560"/>
              <w:jc w:val="center"/>
            </w:pPr>
            <w:r>
              <w:rPr>
                <w:b/>
                <w:i w:val="0"/>
                <w:color w:val="FFFFFF"/>
                <w:sz w:val="44"/>
              </w:rPr>
              <w:t>Politique de sécurité de l'information (PSSI) &amp; Plan de reprise (PRI)</w:t>
            </w:r>
          </w:p>
          <w:p>
            <w:pPr>
              <w:spacing w:before="120"/>
              <w:jc w:val="center"/>
            </w:pPr>
            <w:r>
              <w:rPr>
                <w:b/>
                <w:i w:val="0"/>
                <w:color w:val="2EE6A0"/>
                <w:sz w:val="28"/>
              </w:rPr>
              <w:t>Banque Aurore SA</w:t>
            </w:r>
          </w:p>
          <w:p>
            <w:pPr>
              <w:jc w:val="center"/>
            </w:pPr>
            <w:r>
              <w:rPr>
                <w:b w:val="0"/>
                <w:i w:val="0"/>
                <w:color w:val="A8C6BC"/>
                <w:sz w:val="20"/>
              </w:rPr>
              <w:t>Audit de conformité ISO 27001 &amp; DORA</w:t>
            </w:r>
          </w:p>
          <w:p>
            <w:pPr>
              <w:spacing w:before="400"/>
              <w:jc w:val="center"/>
            </w:pPr>
            <w:r>
              <w:rPr>
                <w:b w:val="0"/>
                <w:i w:val="0"/>
                <w:color w:val="8FB3A8"/>
                <w:sz w:val="17"/>
              </w:rPr>
              <w:t xml:space="preserve">Réf. mission : </w:t>
            </w:r>
            <w:r>
              <w:rPr>
                <w:b/>
                <w:i w:val="0"/>
                <w:color w:val="EAF4F0"/>
                <w:sz w:val="17"/>
              </w:rPr>
              <w:t>audit_de_conformite_iso_27001_et_dora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Auditeur : </w:t>
            </w:r>
            <w:r>
              <w:rPr>
                <w:b/>
                <w:i w:val="0"/>
                <w:color w:val="EAF4F0"/>
                <w:sz w:val="17"/>
              </w:rPr>
              <w:t>—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Cabinet : </w:t>
            </w:r>
            <w:r>
              <w:rPr>
                <w:b/>
                <w:i w:val="0"/>
                <w:color w:val="EAF4F0"/>
                <w:sz w:val="17"/>
              </w:rPr>
              <w:t>Cabinet non renseigné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Édité le : </w:t>
            </w:r>
            <w:r>
              <w:rPr>
                <w:b/>
                <w:i w:val="0"/>
                <w:color w:val="EAF4F0"/>
                <w:sz w:val="17"/>
              </w:rPr>
              <w:t>31/07/2026</w:t>
            </w:r>
          </w:p>
          <w:p>
            <w:pPr>
              <w:spacing w:before="360"/>
              <w:jc w:val="center"/>
            </w:pPr>
            <w:r>
              <w:rPr>
                <w:b/>
                <w:i w:val="0"/>
                <w:color w:val="7BF3C8"/>
                <w:sz w:val="16"/>
              </w:rPr>
              <w:t xml:space="preserve">  DOCUMENT CONFIDENTIEL — DIFFUSION RESTREINTE  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i w:val="0"/>
          <w:color w:val="0C2317"/>
          <w:sz w:val="26"/>
        </w:rPr>
        <w:t>Sommaire</w:t>
      </w:r>
    </w:p>
    <w:p>
      <w:pPr>
        <w:spacing w:after="40"/>
      </w:pPr>
      <w:r>
        <w:rPr>
          <w:b w:val="0"/>
          <w:i w:val="0"/>
          <w:color w:val="2EE6A0"/>
          <w:sz w:val="20"/>
        </w:rPr>
        <w:t xml:space="preserve">1.  </w:t>
      </w:r>
      <w:r>
        <w:rPr>
          <w:b w:val="0"/>
          <w:i w:val="0"/>
          <w:color w:val="33403B"/>
          <w:sz w:val="20"/>
        </w:rPr>
        <w:t>I. Politique de sécurité de l'information (PSSI)</w:t>
      </w:r>
    </w:p>
    <w:p>
      <w:pPr>
        <w:spacing w:after="40"/>
      </w:pPr>
      <w:r>
        <w:rPr>
          <w:b w:val="0"/>
          <w:i w:val="0"/>
          <w:color w:val="2EE6A0"/>
          <w:sz w:val="20"/>
        </w:rPr>
        <w:t xml:space="preserve">2.  </w:t>
      </w:r>
      <w:r>
        <w:rPr>
          <w:b w:val="0"/>
          <w:i w:val="0"/>
          <w:color w:val="33403B"/>
          <w:sz w:val="20"/>
        </w:rPr>
        <w:t>II. Plan de reprise informatique &amp; résilience (PRI)</w:t>
      </w:r>
    </w:p>
    <w:p>
      <w:r>
        <w:br w:type="page"/>
      </w:r>
    </w:p>
    <w:p>
      <w:pPr>
        <w:spacing w:before="8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1. </w:t>
      </w:r>
      <w:r>
        <w:rPr>
          <w:b/>
          <w:i w:val="0"/>
          <w:color w:val="0C2317"/>
          <w:sz w:val="28"/>
        </w:rPr>
        <w:t>I. Politique de sécurité de l'information (PSSI)</w:t>
      </w:r>
    </w:p>
    <w:p>
      <w:r>
        <w:rPr>
          <w:b w:val="0"/>
          <w:i/>
          <w:color w:val="6B7F78"/>
          <w:sz w:val="18"/>
        </w:rPr>
        <w:t>Aucune section PSSI n'a été rédigée à ce stade.</w:t>
      </w:r>
    </w:p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2. </w:t>
      </w:r>
      <w:r>
        <w:rPr>
          <w:b/>
          <w:i w:val="0"/>
          <w:color w:val="0C2317"/>
          <w:sz w:val="28"/>
        </w:rPr>
        <w:t>II. Plan de reprise informatique &amp; résilience (PRI)</w:t>
      </w:r>
    </w:p>
    <w:p>
      <w:pPr>
        <w:spacing w:before="200" w:after="40"/>
      </w:pPr>
      <w:r>
        <w:rPr>
          <w:b/>
          <w:i w:val="0"/>
          <w:color w:val="0C2317"/>
          <w:sz w:val="21"/>
        </w:rPr>
        <w:t>2.1 Indicateurs temporels de continuité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118"/>
        <w:gridCol w:w="3294"/>
      </w:tblGrid>
      <w:tr>
        <w:tc>
          <w:tcPr>
            <w:tcW w:type="dxa" w:w="6118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Indicateur</w:t>
            </w:r>
          </w:p>
        </w:tc>
        <w:tc>
          <w:tcPr>
            <w:tcW w:type="dxa" w:w="3294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Valeur retenue</w:t>
            </w:r>
          </w:p>
        </w:tc>
      </w:tr>
      <w:tr>
        <w:tc>
          <w:tcPr>
            <w:tcW w:type="dxa" w:w="611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RTO — temps de reprise maximal</w:t>
            </w:r>
          </w:p>
        </w:tc>
        <w:tc>
          <w:tcPr>
            <w:tcW w:type="dxa" w:w="329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2 heures pour le paiement instantané (fonction critique DORA), 8 heures pour la banque en ligne</w:t>
            </w:r>
          </w:p>
        </w:tc>
      </w:tr>
      <w:tr>
        <w:tc>
          <w:tcPr>
            <w:tcW w:type="dxa" w:w="611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RPO — perte de données maximale admissible</w:t>
            </w:r>
          </w:p>
        </w:tc>
        <w:tc>
          <w:tcPr>
            <w:tcW w:type="dxa" w:w="329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15 minutes pour les opérations de paiement, 1 heure pour les référentiels clients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2.2 Politique de sauvegarde et d'immuabilité</w:t>
      </w:r>
    </w:p>
    <w:p>
      <w:r>
        <w:rPr>
          <w:b w:val="0"/>
          <w:i w:val="0"/>
          <w:color w:val="33403B"/>
          <w:sz w:val="20"/>
        </w:rPr>
        <w:t>Réplication synchrone entre les deux datacenters, sauvegarde immuable quotidienne conservée 35 jours hors site, test de bascule complet trimestriel avec procès-verbal transmis à l'ACPR.</w:t>
      </w:r>
    </w:p>
    <w:p>
      <w:pPr>
        <w:spacing w:before="200" w:after="40"/>
      </w:pPr>
      <w:r>
        <w:rPr>
          <w:b/>
          <w:i w:val="0"/>
          <w:color w:val="0C2317"/>
          <w:sz w:val="21"/>
        </w:rPr>
        <w:t>2.3 Séquence de remédiation en gestion de crise (E3R de l'ANSSI)</w:t>
      </w:r>
    </w:p>
    <w:p>
      <w:pPr>
        <w:spacing w:after="80"/>
      </w:pPr>
      <w:r>
        <w:rPr>
          <w:b w:val="0"/>
          <w:i w:val="0"/>
          <w:color w:val="6B7F78"/>
          <w:sz w:val="18"/>
        </w:rPr>
        <w:t>En cas de compromission majeure de l'Active Directory ou de l'infrastructure cloud 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12"/>
        <w:gridCol w:w="6400"/>
      </w:tblGrid>
      <w:tr>
        <w:tc>
          <w:tcPr>
            <w:tcW w:type="dxa" w:w="301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Étape E3R</w:t>
            </w:r>
          </w:p>
        </w:tc>
        <w:tc>
          <w:tcPr>
            <w:tcW w:type="dxa" w:w="640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Procédure retenue</w:t>
            </w:r>
          </w:p>
        </w:tc>
      </w:tr>
      <w:tr>
        <w:tc>
          <w:tcPr>
            <w:tcW w:type="dxa" w:w="30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Endiguement (contenir l'attaquant)</w:t>
            </w:r>
          </w:p>
        </w:tc>
        <w:tc>
          <w:tcPr>
            <w:tcW w:type="dxa" w:w="640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Isolement de la zone compromise par bascule sur le site de repli, gel des livraisons éditeur, activation de la cellule de crise avec astreinte RSSI sous 30 minutes.</w:t>
            </w:r>
          </w:p>
        </w:tc>
      </w:tr>
      <w:tr>
        <w:tc>
          <w:tcPr>
            <w:tcW w:type="dxa" w:w="30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Éviction (reprendre le contrôle du cœur de confiance)</w:t>
            </w:r>
          </w:p>
        </w:tc>
        <w:tc>
          <w:tcPr>
            <w:tcW w:type="dxa" w:w="640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Révocation des certificats et jetons d'interconnexion, réinitialisation des comptes à privilèges et des comptes de service, rupture temporaire du lien avec l'éditeur.</w:t>
            </w:r>
          </w:p>
        </w:tc>
      </w:tr>
      <w:tr>
        <w:tc>
          <w:tcPr>
            <w:tcW w:type="dxa" w:w="30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Éradication (nettoyage en profondeur)</w:t>
            </w:r>
          </w:p>
        </w:tc>
        <w:tc>
          <w:tcPr>
            <w:tcW w:type="dxa" w:w="640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Analyse forensique des binaires livrés, comparaison aux empreintes de référence, reconstruction des serveurs concernés depuis un socle durci vérifié.</w:t>
            </w:r>
          </w:p>
        </w:tc>
      </w:tr>
      <w:tr>
        <w:tc>
          <w:tcPr>
            <w:tcW w:type="dxa" w:w="30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Reconstruction (rebâtir dès la conception)</w:t>
            </w:r>
          </w:p>
        </w:tc>
        <w:tc>
          <w:tcPr>
            <w:tcW w:type="dxa" w:w="640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Remise en service progressive avec vérification d'intégrité comptable poste par poste, réconciliation des opérations sur la période suspecte, notification ACPR de clôture d'incident et retour d'expérience sous 30 jours.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2.4 Volet stratégique — arbitrage Direction</w:t>
      </w:r>
    </w:p>
    <w:p>
      <w:r>
        <w:rPr>
          <w:b w:val="0"/>
          <w:i/>
          <w:color w:val="6B7F78"/>
          <w:sz w:val="18"/>
        </w:rPr>
        <w:t>Le volet stratégique (arbitrage Direction) n'a pas été documenté.</w:t>
      </w:r>
    </w:p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0C2317"/>
          <w:sz w:val="26"/>
        </w:rPr>
        <w:t>Signatures pour homologation de sécurité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Pour Cabinet non renseigné</w:t>
            </w:r>
          </w:p>
        </w:tc>
        <w:tc>
          <w:tcPr>
            <w:tcW w:type="dxa" w:w="470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Pour la Direction de Banque Aurore SA</w:t>
            </w:r>
          </w:p>
        </w:tc>
      </w:tr>
      <w:tr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Consultant</w:t>
            </w:r>
          </w:p>
        </w:tc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Directeur Général / RSSI</w:t>
            </w:r>
          </w:p>
        </w:tc>
      </w:tr>
      <w:tr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Signature :</w:t>
            </w:r>
          </w:p>
        </w:tc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Signature :</w:t>
            </w:r>
          </w:p>
        </w:tc>
      </w:tr>
    </w:tbl>
    <w:p/>
    <w:sectPr w:rsidR="00FC693F" w:rsidRPr="0006063C" w:rsidSect="00034616">
      <w:footerReference w:type="default" r:id="rId10"/>
      <w:pgSz w:w="11906" w:h="16838"/>
      <w:pgMar w:top="90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33403B"/>
        <w:sz w:val="14"/>
      </w:rPr>
      <w:t>GREEN SHIELD — Cabinet non renseigné · Document confidentiel, ne pas diffuser sans autorisation écrite.</w:t>
    </w:r>
  </w:p>
  <w:p>
    <w:pPr>
      <w:jc w:val="center"/>
    </w:pPr>
    <w:r>
      <w:rPr>
        <w:b w:val="0"/>
        <w:i w:val="0"/>
        <w:color w:val="33403B"/>
        <w:sz w:val="13"/>
      </w:rPr>
      <w:t>Empreinte SHA-256 de l'état de la mission à l'édition : 870d095ccce86180b4371c414e51921b436ce7160191eb6b8b033d69f8406603</w:t>
    </w:r>
  </w:p>
  <w:p>
    <w:pPr>
      <w:jc w:val="center"/>
    </w:pPr>
    <w:r>
      <w:rPr>
        <w:b w:val="0"/>
        <w:i/>
        <w:color w:val="33403B"/>
        <w:sz w:val="13"/>
      </w:rPr>
      <w:t>Toute modification ultérieure de la mission, même rétablie, produit une empreinte différente.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0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