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trHeight w:val="14571" w:hRule="atLeast"/>
        </w:trPr>
        <w:tc>
          <w:tcPr>
            <w:tcW w:type="dxa" w:w="9412"/>
            <w:vAlign w:val="center"/>
            <w:shd w:val="clear" w:color="auto" w:fill="04150E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84000" cy="684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00" cy="68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/>
              <w:jc w:val="center"/>
            </w:pPr>
            <w:r>
              <w:rPr>
                <w:b/>
                <w:i w:val="0"/>
                <w:color w:val="FFFFFF"/>
                <w:sz w:val="26"/>
              </w:rPr>
              <w:t>GREEN SHIELD</w:t>
            </w:r>
          </w:p>
          <w:p>
            <w:pPr>
              <w:jc w:val="center"/>
            </w:pPr>
            <w:r>
              <w:rPr>
                <w:b w:val="0"/>
                <w:i/>
                <w:color w:val="7BF3C8"/>
                <w:sz w:val="18"/>
              </w:rPr>
              <w:t>Cabinet non renseigné</w:t>
            </w:r>
          </w:p>
          <w:p>
            <w:pPr>
              <w:spacing w:before="560"/>
              <w:jc w:val="center"/>
            </w:pPr>
            <w:r>
              <w:rPr>
                <w:b/>
                <w:i w:val="0"/>
                <w:color w:val="FFFFFF"/>
                <w:sz w:val="44"/>
              </w:rPr>
              <w:t>Analyse de risques cyber (orientation EBIOS RM)</w:t>
            </w:r>
          </w:p>
          <w:p>
            <w:pPr>
              <w:spacing w:before="120"/>
              <w:jc w:val="center"/>
            </w:pPr>
            <w:r>
              <w:rPr>
                <w:b/>
                <w:i w:val="0"/>
                <w:color w:val="2EE6A0"/>
                <w:sz w:val="28"/>
              </w:rPr>
              <w:t>Banque Aurore SA</w:t>
            </w:r>
          </w:p>
          <w:p>
            <w:pPr>
              <w:jc w:val="center"/>
            </w:pPr>
            <w:r>
              <w:rPr>
                <w:b w:val="0"/>
                <w:i w:val="0"/>
                <w:color w:val="A8C6BC"/>
                <w:sz w:val="20"/>
              </w:rPr>
              <w:t>Audit de conformité ISO 27001 &amp; DORA</w:t>
            </w:r>
          </w:p>
          <w:p>
            <w:pPr>
              <w:spacing w:before="400"/>
              <w:jc w:val="center"/>
            </w:pPr>
            <w:r>
              <w:rPr>
                <w:b w:val="0"/>
                <w:i w:val="0"/>
                <w:color w:val="8FB3A8"/>
                <w:sz w:val="17"/>
              </w:rPr>
              <w:t xml:space="preserve">Réf. mission : </w:t>
            </w:r>
            <w:r>
              <w:rPr>
                <w:b/>
                <w:i w:val="0"/>
                <w:color w:val="EAF4F0"/>
                <w:sz w:val="17"/>
              </w:rPr>
              <w:t>audit_de_conformite_iso_27001_et_dora</w:t>
            </w:r>
            <w:r>
              <w:rPr>
                <w:color w:val="3E5A50"/>
              </w:rPr>
              <w:t xml:space="preserve">    ·    </w:t>
            </w:r>
            <w:r>
              <w:rPr>
                <w:b w:val="0"/>
                <w:i w:val="0"/>
                <w:color w:val="8FB3A8"/>
                <w:sz w:val="17"/>
              </w:rPr>
              <w:t xml:space="preserve">Méthode : </w:t>
            </w:r>
            <w:r>
              <w:rPr>
                <w:b/>
                <w:i w:val="0"/>
                <w:color w:val="EAF4F0"/>
                <w:sz w:val="17"/>
              </w:rPr>
              <w:t>EBIOS RM · ANSSI</w:t>
            </w:r>
            <w:r>
              <w:rPr>
                <w:color w:val="3E5A50"/>
              </w:rPr>
              <w:t xml:space="preserve">    ·    </w:t>
            </w:r>
            <w:r>
              <w:rPr>
                <w:b w:val="0"/>
                <w:i w:val="0"/>
                <w:color w:val="8FB3A8"/>
                <w:sz w:val="17"/>
              </w:rPr>
              <w:t xml:space="preserve">Auditeur : </w:t>
            </w:r>
            <w:r>
              <w:rPr>
                <w:b/>
                <w:i w:val="0"/>
                <w:color w:val="EAF4F0"/>
                <w:sz w:val="17"/>
              </w:rPr>
              <w:t>—</w:t>
            </w:r>
            <w:r>
              <w:rPr>
                <w:color w:val="3E5A50"/>
              </w:rPr>
              <w:t xml:space="preserve">    ·    </w:t>
            </w:r>
            <w:r>
              <w:rPr>
                <w:b w:val="0"/>
                <w:i w:val="0"/>
                <w:color w:val="8FB3A8"/>
                <w:sz w:val="17"/>
              </w:rPr>
              <w:t xml:space="preserve">Cabinet : </w:t>
            </w:r>
            <w:r>
              <w:rPr>
                <w:b/>
                <w:i w:val="0"/>
                <w:color w:val="EAF4F0"/>
                <w:sz w:val="17"/>
              </w:rPr>
              <w:t>Cabinet non renseigné</w:t>
            </w:r>
            <w:r>
              <w:rPr>
                <w:color w:val="3E5A50"/>
              </w:rPr>
              <w:t xml:space="preserve">    ·    </w:t>
            </w:r>
            <w:r>
              <w:rPr>
                <w:b w:val="0"/>
                <w:i w:val="0"/>
                <w:color w:val="8FB3A8"/>
                <w:sz w:val="17"/>
              </w:rPr>
              <w:t xml:space="preserve">Édité le : </w:t>
            </w:r>
            <w:r>
              <w:rPr>
                <w:b/>
                <w:i w:val="0"/>
                <w:color w:val="EAF4F0"/>
                <w:sz w:val="17"/>
              </w:rPr>
              <w:t>31/07/2026</w:t>
            </w:r>
          </w:p>
          <w:p>
            <w:pPr>
              <w:spacing w:before="360"/>
              <w:jc w:val="center"/>
            </w:pPr>
            <w:r>
              <w:rPr>
                <w:b/>
                <w:i w:val="0"/>
                <w:color w:val="7BF3C8"/>
                <w:sz w:val="16"/>
              </w:rPr>
              <w:t xml:space="preserve">  DOCUMENT CONFIDENTIEL — DIFFUSION RESTREINTE  </w:t>
            </w:r>
          </w:p>
        </w:tc>
      </w:tr>
    </w:tbl>
    <w:p>
      <w:r>
        <w:br w:type="page"/>
      </w:r>
    </w:p>
    <w:p>
      <w:pPr>
        <w:spacing w:after="160"/>
      </w:pPr>
      <w:r>
        <w:rPr>
          <w:b/>
          <w:i w:val="0"/>
          <w:color w:val="0C2317"/>
          <w:sz w:val="26"/>
        </w:rPr>
        <w:t>Sommaire</w:t>
      </w:r>
    </w:p>
    <w:p>
      <w:pPr>
        <w:spacing w:after="40"/>
      </w:pPr>
      <w:r>
        <w:rPr>
          <w:b w:val="0"/>
          <w:i w:val="0"/>
          <w:color w:val="2EE6A0"/>
          <w:sz w:val="20"/>
        </w:rPr>
        <w:t xml:space="preserve">1.  </w:t>
      </w:r>
      <w:r>
        <w:rPr>
          <w:b w:val="0"/>
          <w:i w:val="0"/>
          <w:color w:val="33403B"/>
          <w:sz w:val="20"/>
        </w:rPr>
        <w:t>Cadrage et identification du patrimoine</w:t>
      </w:r>
    </w:p>
    <w:p>
      <w:pPr>
        <w:spacing w:after="40"/>
      </w:pPr>
      <w:r>
        <w:rPr>
          <w:b w:val="0"/>
          <w:i w:val="0"/>
          <w:color w:val="2EE6A0"/>
          <w:sz w:val="20"/>
        </w:rPr>
        <w:t xml:space="preserve">2.  </w:t>
      </w:r>
      <w:r>
        <w:rPr>
          <w:b w:val="0"/>
          <w:i w:val="0"/>
          <w:color w:val="33403B"/>
          <w:sz w:val="20"/>
        </w:rPr>
        <w:t>Cartographie des menaces &amp; scénarios EBIOS RM</w:t>
      </w:r>
    </w:p>
    <w:p>
      <w:pPr>
        <w:spacing w:after="40"/>
      </w:pPr>
      <w:r>
        <w:rPr>
          <w:b w:val="0"/>
          <w:i w:val="0"/>
          <w:color w:val="2EE6A0"/>
          <w:sz w:val="20"/>
        </w:rPr>
        <w:t xml:space="preserve">3.  </w:t>
      </w:r>
      <w:r>
        <w:rPr>
          <w:b w:val="0"/>
          <w:i w:val="0"/>
          <w:color w:val="33403B"/>
          <w:sz w:val="20"/>
        </w:rPr>
        <w:t>Écosystème et risques tiers</w:t>
      </w:r>
    </w:p>
    <w:p>
      <w:pPr>
        <w:spacing w:after="40"/>
      </w:pPr>
      <w:r>
        <w:rPr>
          <w:b w:val="0"/>
          <w:i w:val="0"/>
          <w:color w:val="2EE6A0"/>
          <w:sz w:val="20"/>
        </w:rPr>
        <w:t xml:space="preserve">4.  </w:t>
      </w:r>
      <w:r>
        <w:rPr>
          <w:b w:val="0"/>
          <w:i w:val="0"/>
          <w:color w:val="33403B"/>
          <w:sz w:val="20"/>
        </w:rPr>
        <w:t>Plan d'action &amp; traitement</w:t>
      </w:r>
    </w:p>
    <w:p>
      <w:r>
        <w:br w:type="page"/>
      </w:r>
    </w:p>
    <w:p>
      <w:pPr>
        <w:spacing w:before="80" w:after="160"/>
        <w:pBdr>
          <w:bottom w:val="single" w:sz="16" w:space="4" w:color="2EE6A0"/>
        </w:pBdr>
      </w:pPr>
      <w:r>
        <w:rPr>
          <w:b/>
          <w:i w:val="0"/>
          <w:color w:val="2EE6A0"/>
          <w:sz w:val="28"/>
        </w:rPr>
        <w:t xml:space="preserve">1. </w:t>
      </w:r>
      <w:r>
        <w:rPr>
          <w:b/>
          <w:i w:val="0"/>
          <w:color w:val="0C2317"/>
          <w:sz w:val="28"/>
        </w:rPr>
        <w:t>Cadrage et identification du patrimoine</w:t>
      </w:r>
    </w:p>
    <w:p>
      <w:pPr>
        <w:spacing w:after="120"/>
      </w:pPr>
      <w:r>
        <w:rPr>
          <w:b w:val="0"/>
          <w:i w:val="0"/>
          <w:color w:val="33403B"/>
          <w:sz w:val="20"/>
        </w:rPr>
        <w:t>Ce chapitre identifie le périmètre d'évaluation, les missions fondamentales de l'entreprise et cartographie le patrimoine d'actifs.</w:t>
      </w:r>
    </w:p>
    <w:p>
      <w:pPr>
        <w:spacing w:before="200" w:after="40"/>
      </w:pPr>
      <w:r>
        <w:rPr>
          <w:b/>
          <w:i w:val="0"/>
          <w:color w:val="0C2317"/>
          <w:sz w:val="21"/>
        </w:rPr>
        <w:t>1.1 Valeurs métier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98"/>
        <w:gridCol w:w="2282"/>
        <w:gridCol w:w="4278"/>
        <w:gridCol w:w="1854"/>
      </w:tblGrid>
      <w:tr>
        <w:tc>
          <w:tcPr>
            <w:tcW w:type="dxa" w:w="998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ID</w:t>
            </w:r>
          </w:p>
        </w:tc>
        <w:tc>
          <w:tcPr>
            <w:tcW w:type="dxa" w:w="2282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Valeur métier</w:t>
            </w:r>
          </w:p>
        </w:tc>
        <w:tc>
          <w:tcPr>
            <w:tcW w:type="dxa" w:w="4278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Description</w:t>
            </w:r>
          </w:p>
        </w:tc>
        <w:tc>
          <w:tcPr>
            <w:tcW w:type="dxa" w:w="1854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Données personnelles</w:t>
            </w:r>
          </w:p>
        </w:tc>
      </w:tr>
      <w:tr>
        <w:tc>
          <w:tcPr>
            <w:tcW w:type="dxa" w:w="9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VM-01</w:t>
            </w:r>
          </w:p>
        </w:tc>
        <w:tc>
          <w:tcPr>
            <w:tcW w:type="dxa" w:w="228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Comptes et soldes clients</w:t>
            </w:r>
          </w:p>
        </w:tc>
        <w:tc>
          <w:tcPr>
            <w:tcW w:type="dxa" w:w="427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Registre des positions clients, cœur du système bancaire.</w:t>
            </w:r>
          </w:p>
        </w:tc>
        <w:tc>
          <w:tcPr>
            <w:tcW w:type="dxa" w:w="1854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Oui</w:t>
            </w:r>
          </w:p>
        </w:tc>
      </w:tr>
      <w:tr>
        <w:tc>
          <w:tcPr>
            <w:tcW w:type="dxa" w:w="9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VM-02</w:t>
            </w:r>
          </w:p>
        </w:tc>
        <w:tc>
          <w:tcPr>
            <w:tcW w:type="dxa" w:w="228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Service de paiement instantané (SCT Inst)</w:t>
            </w:r>
          </w:p>
        </w:tc>
        <w:tc>
          <w:tcPr>
            <w:tcW w:type="dxa" w:w="427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Fonction critique au sens DORA — indisponibilité immédiatement visible du client.</w:t>
            </w:r>
          </w:p>
        </w:tc>
        <w:tc>
          <w:tcPr>
            <w:tcW w:type="dxa" w:w="1854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Oui</w:t>
            </w:r>
          </w:p>
        </w:tc>
      </w:tr>
      <w:tr>
        <w:tc>
          <w:tcPr>
            <w:tcW w:type="dxa" w:w="9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VM-03</w:t>
            </w:r>
          </w:p>
        </w:tc>
        <w:tc>
          <w:tcPr>
            <w:tcW w:type="dxa" w:w="228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Dossiers de crédit et scoring</w:t>
            </w:r>
          </w:p>
        </w:tc>
        <w:tc>
          <w:tcPr>
            <w:tcW w:type="dxa" w:w="427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Décisions automatisées avec effet juridique (RGPD Art. 22).</w:t>
            </w:r>
          </w:p>
        </w:tc>
        <w:tc>
          <w:tcPr>
            <w:tcW w:type="dxa" w:w="1854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Oui</w:t>
            </w:r>
          </w:p>
        </w:tc>
      </w:tr>
      <w:tr>
        <w:tc>
          <w:tcPr>
            <w:tcW w:type="dxa" w:w="9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VM-04</w:t>
            </w:r>
          </w:p>
        </w:tc>
        <w:tc>
          <w:tcPr>
            <w:tcW w:type="dxa" w:w="228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Piste d'audit réglementaire</w:t>
            </w:r>
          </w:p>
        </w:tc>
        <w:tc>
          <w:tcPr>
            <w:tcW w:type="dxa" w:w="427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Traçabilité exigée par l'ACPR, intégrité opposable.</w:t>
            </w:r>
          </w:p>
        </w:tc>
        <w:tc>
          <w:tcPr>
            <w:tcW w:type="dxa" w:w="1854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Oui</w:t>
            </w:r>
          </w:p>
        </w:tc>
      </w:tr>
    </w:tbl>
    <w:p/>
    <w:p>
      <w:pPr>
        <w:spacing w:before="200" w:after="40"/>
      </w:pPr>
      <w:r>
        <w:rPr>
          <w:b/>
          <w:i w:val="0"/>
          <w:color w:val="0C2317"/>
          <w:sz w:val="21"/>
        </w:rPr>
        <w:t>1.2 Biens supports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03"/>
        <w:gridCol w:w="2063"/>
        <w:gridCol w:w="1289"/>
        <w:gridCol w:w="3352"/>
        <w:gridCol w:w="1805"/>
      </w:tblGrid>
      <w:tr>
        <w:tc>
          <w:tcPr>
            <w:tcW w:type="dxa" w:w="903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ID</w:t>
            </w:r>
          </w:p>
        </w:tc>
        <w:tc>
          <w:tcPr>
            <w:tcW w:type="dxa" w:w="2063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Bien support</w:t>
            </w:r>
          </w:p>
        </w:tc>
        <w:tc>
          <w:tcPr>
            <w:tcW w:type="dxa" w:w="1289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Type</w:t>
            </w:r>
          </w:p>
        </w:tc>
        <w:tc>
          <w:tcPr>
            <w:tcW w:type="dxa" w:w="3352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Description</w:t>
            </w:r>
          </w:p>
        </w:tc>
        <w:tc>
          <w:tcPr>
            <w:tcW w:type="dxa" w:w="1805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Responsable</w:t>
            </w:r>
          </w:p>
        </w:tc>
      </w:tr>
      <w:tr>
        <w:tc>
          <w:tcPr>
            <w:tcW w:type="dxa" w:w="90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BS-01</w:t>
            </w:r>
          </w:p>
        </w:tc>
        <w:tc>
          <w:tcPr>
            <w:tcW w:type="dxa" w:w="206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Core banking system (éditeur externe)</w:t>
            </w:r>
          </w:p>
        </w:tc>
        <w:tc>
          <w:tcPr>
            <w:tcW w:type="dxa" w:w="1289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Logiciel</w:t>
            </w:r>
          </w:p>
        </w:tc>
        <w:tc>
          <w:tcPr>
            <w:tcW w:type="dxa" w:w="335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Progiciel hébergé chez l'éditeur, version N-1.</w:t>
            </w:r>
          </w:p>
        </w:tc>
        <w:tc>
          <w:tcPr>
            <w:tcW w:type="dxa" w:w="180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DSI</w:t>
            </w:r>
          </w:p>
        </w:tc>
      </w:tr>
      <w:tr>
        <w:tc>
          <w:tcPr>
            <w:tcW w:type="dxa" w:w="90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BS-02</w:t>
            </w:r>
          </w:p>
        </w:tc>
        <w:tc>
          <w:tcPr>
            <w:tcW w:type="dxa" w:w="206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Plateforme de paiement SCT Inst</w:t>
            </w:r>
          </w:p>
        </w:tc>
        <w:tc>
          <w:tcPr>
            <w:tcW w:type="dxa" w:w="1289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Logiciel</w:t>
            </w:r>
          </w:p>
        </w:tc>
        <w:tc>
          <w:tcPr>
            <w:tcW w:type="dxa" w:w="335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Interconnexion STET, disponibilité 24/7 exigée.</w:t>
            </w:r>
          </w:p>
        </w:tc>
        <w:tc>
          <w:tcPr>
            <w:tcW w:type="dxa" w:w="180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Directeur des Paiements</w:t>
            </w:r>
          </w:p>
        </w:tc>
      </w:tr>
      <w:tr>
        <w:tc>
          <w:tcPr>
            <w:tcW w:type="dxa" w:w="90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BS-03</w:t>
            </w:r>
          </w:p>
        </w:tc>
        <w:tc>
          <w:tcPr>
            <w:tcW w:type="dxa" w:w="206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Datacenter principal et site de repli</w:t>
            </w:r>
          </w:p>
        </w:tc>
        <w:tc>
          <w:tcPr>
            <w:tcW w:type="dxa" w:w="1289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Matériel</w:t>
            </w:r>
          </w:p>
        </w:tc>
        <w:tc>
          <w:tcPr>
            <w:tcW w:type="dxa" w:w="335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Deux sites actifs/passifs distants de 40 km.</w:t>
            </w:r>
          </w:p>
        </w:tc>
        <w:tc>
          <w:tcPr>
            <w:tcW w:type="dxa" w:w="180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Responsable Production</w:t>
            </w:r>
          </w:p>
        </w:tc>
      </w:tr>
      <w:tr>
        <w:tc>
          <w:tcPr>
            <w:tcW w:type="dxa" w:w="90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BS-04</w:t>
            </w:r>
          </w:p>
        </w:tc>
        <w:tc>
          <w:tcPr>
            <w:tcW w:type="dxa" w:w="206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SIEM et collecte de journaux</w:t>
            </w:r>
          </w:p>
        </w:tc>
        <w:tc>
          <w:tcPr>
            <w:tcW w:type="dxa" w:w="1289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Logiciel</w:t>
            </w:r>
          </w:p>
        </w:tc>
        <w:tc>
          <w:tcPr>
            <w:tcW w:type="dxa" w:w="335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Collecte 380 sources, rétention 12 mois.</w:t>
            </w:r>
          </w:p>
        </w:tc>
        <w:tc>
          <w:tcPr>
            <w:tcW w:type="dxa" w:w="180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RSSI</w:t>
            </w:r>
          </w:p>
        </w:tc>
      </w:tr>
      <w:tr>
        <w:tc>
          <w:tcPr>
            <w:tcW w:type="dxa" w:w="90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BS-05</w:t>
            </w:r>
          </w:p>
        </w:tc>
        <w:tc>
          <w:tcPr>
            <w:tcW w:type="dxa" w:w="206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Poste de travail et messagerie (M365)</w:t>
            </w:r>
          </w:p>
        </w:tc>
        <w:tc>
          <w:tcPr>
            <w:tcW w:type="dxa" w:w="1289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Logiciel</w:t>
            </w:r>
          </w:p>
        </w:tc>
        <w:tc>
          <w:tcPr>
            <w:tcW w:type="dxa" w:w="335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640 postes, MFA généralisé, EDR déployé.</w:t>
            </w:r>
          </w:p>
        </w:tc>
        <w:tc>
          <w:tcPr>
            <w:tcW w:type="dxa" w:w="180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DSI</w:t>
            </w:r>
          </w:p>
        </w:tc>
      </w:tr>
    </w:tbl>
    <w:p/>
    <w:p>
      <w:pPr>
        <w:spacing w:before="400" w:after="160"/>
        <w:pBdr>
          <w:bottom w:val="single" w:sz="16" w:space="4" w:color="2EE6A0"/>
        </w:pBdr>
      </w:pPr>
      <w:r>
        <w:rPr>
          <w:b/>
          <w:i w:val="0"/>
          <w:color w:val="2EE6A0"/>
          <w:sz w:val="28"/>
        </w:rPr>
        <w:t xml:space="preserve">2. </w:t>
      </w:r>
      <w:r>
        <w:rPr>
          <w:b/>
          <w:i w:val="0"/>
          <w:color w:val="0C2317"/>
          <w:sz w:val="28"/>
        </w:rPr>
        <w:t>Cartographie des menaces &amp; scénarios EBIOS RM</w:t>
      </w:r>
    </w:p>
    <w:p>
      <w:pPr>
        <w:spacing w:before="200" w:after="40"/>
      </w:pPr>
      <w:r>
        <w:rPr>
          <w:b/>
          <w:i w:val="0"/>
          <w:color w:val="0C2317"/>
          <w:sz w:val="21"/>
        </w:rPr>
        <w:t>2.1 Événements redoutés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98"/>
        <w:gridCol w:w="3137"/>
        <w:gridCol w:w="1255"/>
        <w:gridCol w:w="3922"/>
      </w:tblGrid>
      <w:tr>
        <w:tc>
          <w:tcPr>
            <w:tcW w:type="dxa" w:w="1098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ID</w:t>
            </w:r>
          </w:p>
        </w:tc>
        <w:tc>
          <w:tcPr>
            <w:tcW w:type="dxa" w:w="3137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Événement redouté</w:t>
            </w:r>
          </w:p>
        </w:tc>
        <w:tc>
          <w:tcPr>
            <w:tcW w:type="dxa" w:w="1255"/>
            <w:shd w:val="clear" w:color="auto" w:fill="F2FBF7"/>
            <w:tcBorders>
              <w:bottom w:val="single" w:sz="6" w:space="0" w:color="C9DBD3"/>
            </w:tcBorders>
          </w:tcPr>
          <w:p>
            <w:pPr>
              <w:jc w:val="right"/>
            </w:pPr>
            <w:r>
              <w:rPr>
                <w:b/>
                <w:i w:val="0"/>
                <w:color w:val="0C2317"/>
                <w:sz w:val="16"/>
              </w:rPr>
              <w:t>Gravité</w:t>
            </w:r>
          </w:p>
        </w:tc>
        <w:tc>
          <w:tcPr>
            <w:tcW w:type="dxa" w:w="3922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Impacts</w:t>
            </w:r>
          </w:p>
        </w:tc>
      </w:tr>
      <w:tr>
        <w:tc>
          <w:tcPr>
            <w:tcW w:type="dxa" w:w="10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ER-01</w:t>
            </w:r>
          </w:p>
        </w:tc>
        <w:tc>
          <w:tcPr>
            <w:tcW w:type="dxa" w:w="3137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Indisponibilité prolongée du paiement instantané</w:t>
            </w:r>
          </w:p>
        </w:tc>
        <w:tc>
          <w:tcPr>
            <w:tcW w:type="dxa" w:w="1255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4/4</w:t>
            </w:r>
          </w:p>
        </w:tc>
        <w:tc>
          <w:tcPr>
            <w:tcW w:type="dxa" w:w="392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Fonction critique DORA interrompue, notification ACPR sous 4 h, atteinte de réputation immédiate.</w:t>
            </w:r>
          </w:p>
        </w:tc>
      </w:tr>
      <w:tr>
        <w:tc>
          <w:tcPr>
            <w:tcW w:type="dxa" w:w="10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ER-02</w:t>
            </w:r>
          </w:p>
        </w:tc>
        <w:tc>
          <w:tcPr>
            <w:tcW w:type="dxa" w:w="3137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Altération de l'intégrité des soldes clients</w:t>
            </w:r>
          </w:p>
        </w:tc>
        <w:tc>
          <w:tcPr>
            <w:tcW w:type="dxa" w:w="1255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4/4</w:t>
            </w:r>
          </w:p>
        </w:tc>
        <w:tc>
          <w:tcPr>
            <w:tcW w:type="dxa" w:w="392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Perte de confiance systémique, reconstitution manuelle, risque prudentiel.</w:t>
            </w:r>
          </w:p>
        </w:tc>
      </w:tr>
      <w:tr>
        <w:tc>
          <w:tcPr>
            <w:tcW w:type="dxa" w:w="10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ER-03</w:t>
            </w:r>
          </w:p>
        </w:tc>
        <w:tc>
          <w:tcPr>
            <w:tcW w:type="dxa" w:w="3137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Fuite du fichier clients (210 000 personnes)</w:t>
            </w:r>
          </w:p>
        </w:tc>
        <w:tc>
          <w:tcPr>
            <w:tcW w:type="dxa" w:w="1255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4/4</w:t>
            </w:r>
          </w:p>
        </w:tc>
        <w:tc>
          <w:tcPr>
            <w:tcW w:type="dxa" w:w="392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Notification CNIL sous 72 h et information individuelle, sanction possible, action de groupe.</w:t>
            </w:r>
          </w:p>
        </w:tc>
      </w:tr>
    </w:tbl>
    <w:p/>
    <w:p>
      <w:pPr>
        <w:spacing w:before="200" w:after="40"/>
      </w:pPr>
      <w:r>
        <w:rPr>
          <w:b/>
          <w:i w:val="0"/>
          <w:color w:val="0C2317"/>
          <w:sz w:val="21"/>
        </w:rPr>
        <w:t>2.2 Sources de risque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402"/>
        <w:gridCol w:w="4005"/>
        <w:gridCol w:w="4005"/>
      </w:tblGrid>
      <w:tr>
        <w:tc>
          <w:tcPr>
            <w:tcW w:type="dxa" w:w="1402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ID</w:t>
            </w:r>
          </w:p>
        </w:tc>
        <w:tc>
          <w:tcPr>
            <w:tcW w:type="dxa" w:w="4005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Source de risque</w:t>
            </w:r>
          </w:p>
        </w:tc>
        <w:tc>
          <w:tcPr>
            <w:tcW w:type="dxa" w:w="4005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Objectif visé</w:t>
            </w:r>
          </w:p>
        </w:tc>
      </w:tr>
      <w:tr>
        <w:tc>
          <w:tcPr>
            <w:tcW w:type="dxa" w:w="140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SR-01</w:t>
            </w:r>
          </w:p>
        </w:tc>
        <w:tc>
          <w:tcPr>
            <w:tcW w:type="dxa" w:w="400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Groupe criminel spécialisé secteur financier</w:t>
            </w:r>
          </w:p>
        </w:tc>
        <w:tc>
          <w:tcPr>
            <w:tcW w:type="dxa" w:w="400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Fraude au virement et extorsion.</w:t>
            </w:r>
          </w:p>
        </w:tc>
      </w:tr>
      <w:tr>
        <w:tc>
          <w:tcPr>
            <w:tcW w:type="dxa" w:w="140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SR-02</w:t>
            </w:r>
          </w:p>
        </w:tc>
        <w:tc>
          <w:tcPr>
            <w:tcW w:type="dxa" w:w="400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Compromission de la chaîne d'approvisionnement (éditeur core banking)</w:t>
            </w:r>
          </w:p>
        </w:tc>
        <w:tc>
          <w:tcPr>
            <w:tcW w:type="dxa" w:w="400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Accès indirect au SI bancaire via une mise à jour piégée.</w:t>
            </w:r>
          </w:p>
        </w:tc>
      </w:tr>
    </w:tbl>
    <w:p/>
    <w:p>
      <w:pPr>
        <w:spacing w:before="200" w:after="40"/>
      </w:pPr>
      <w:r>
        <w:rPr>
          <w:b/>
          <w:i w:val="0"/>
          <w:color w:val="0C2317"/>
          <w:sz w:val="21"/>
        </w:rPr>
        <w:t>2.3 Scénarios opérationnels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41"/>
        <w:gridCol w:w="3496"/>
        <w:gridCol w:w="740"/>
        <w:gridCol w:w="740"/>
        <w:gridCol w:w="3496"/>
      </w:tblGrid>
      <w:tr>
        <w:tc>
          <w:tcPr>
            <w:tcW w:type="dxa" w:w="941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ID</w:t>
            </w:r>
          </w:p>
        </w:tc>
        <w:tc>
          <w:tcPr>
            <w:tcW w:type="dxa" w:w="3496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Scénario opérationnel</w:t>
            </w:r>
          </w:p>
        </w:tc>
        <w:tc>
          <w:tcPr>
            <w:tcW w:type="dxa" w:w="740"/>
            <w:shd w:val="clear" w:color="auto" w:fill="F2FBF7"/>
            <w:tcBorders>
              <w:bottom w:val="single" w:sz="6" w:space="0" w:color="C9DBD3"/>
            </w:tcBorders>
          </w:tcPr>
          <w:p>
            <w:pPr>
              <w:jc w:val="right"/>
            </w:pPr>
            <w:r>
              <w:rPr>
                <w:b/>
                <w:i w:val="0"/>
                <w:color w:val="0C2317"/>
                <w:sz w:val="16"/>
              </w:rPr>
              <w:t>G</w:t>
            </w:r>
          </w:p>
        </w:tc>
        <w:tc>
          <w:tcPr>
            <w:tcW w:type="dxa" w:w="740"/>
            <w:shd w:val="clear" w:color="auto" w:fill="F2FBF7"/>
            <w:tcBorders>
              <w:bottom w:val="single" w:sz="6" w:space="0" w:color="C9DBD3"/>
            </w:tcBorders>
          </w:tcPr>
          <w:p>
            <w:pPr>
              <w:jc w:val="right"/>
            </w:pPr>
            <w:r>
              <w:rPr>
                <w:b/>
                <w:i w:val="0"/>
                <w:color w:val="0C2317"/>
                <w:sz w:val="16"/>
              </w:rPr>
              <w:t>V</w:t>
            </w:r>
          </w:p>
        </w:tc>
        <w:tc>
          <w:tcPr>
            <w:tcW w:type="dxa" w:w="3496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Mesure d'atténuation</w:t>
            </w:r>
          </w:p>
        </w:tc>
      </w:tr>
      <w:tr>
        <w:tc>
          <w:tcPr>
            <w:tcW w:type="dxa" w:w="941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SO-01</w:t>
            </w:r>
          </w:p>
        </w:tc>
        <w:tc>
          <w:tcPr>
            <w:tcW w:type="dxa" w:w="349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Mise à jour piégée du core banking (BS-01) livrée par l'éditeur → exécution en production → accès aux comptes clients (VM-01) et altération des soldes.</w:t>
            </w:r>
          </w:p>
        </w:tc>
        <w:tc>
          <w:tcPr>
            <w:tcW w:type="dxa" w:w="740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4/4</w:t>
            </w:r>
          </w:p>
        </w:tc>
        <w:tc>
          <w:tcPr>
            <w:tcW w:type="dxa" w:w="740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2/5</w:t>
            </w:r>
          </w:p>
        </w:tc>
        <w:tc>
          <w:tcPr>
            <w:tcW w:type="dxa" w:w="349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Vérification d'intégrité des livraisons éditeur, environnement de pré-production isolé, revue de code des correctifs critiques.</w:t>
            </w:r>
          </w:p>
        </w:tc>
      </w:tr>
      <w:tr>
        <w:tc>
          <w:tcPr>
            <w:tcW w:type="dxa" w:w="941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SO-02</w:t>
            </w:r>
          </w:p>
        </w:tc>
        <w:tc>
          <w:tcPr>
            <w:tcW w:type="dxa" w:w="349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Saturation volumétrique de la plateforme SCT Inst (BS-02) via l'interconnexion STET → indisponibilité de la fonction critique DORA.</w:t>
            </w:r>
          </w:p>
        </w:tc>
        <w:tc>
          <w:tcPr>
            <w:tcW w:type="dxa" w:w="740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4/4</w:t>
            </w:r>
          </w:p>
        </w:tc>
        <w:tc>
          <w:tcPr>
            <w:tcW w:type="dxa" w:w="740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3/5</w:t>
            </w:r>
          </w:p>
        </w:tc>
        <w:tc>
          <w:tcPr>
            <w:tcW w:type="dxa" w:w="349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Limitation de débit en amont, bascule sur le site de repli testée trimestriellement, procédure de dégradation maîtrisée.</w:t>
            </w:r>
          </w:p>
        </w:tc>
      </w:tr>
    </w:tbl>
    <w:p/>
    <w:p>
      <w:pPr>
        <w:spacing w:before="200" w:after="40"/>
      </w:pPr>
      <w:r>
        <w:rPr>
          <w:b/>
          <w:i w:val="0"/>
          <w:color w:val="0C2317"/>
          <w:sz w:val="21"/>
        </w:rPr>
        <w:t>2.3bis Traitement des risques (propriétaire, résiduel, décision)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243"/>
        <w:gridCol w:w="2664"/>
        <w:gridCol w:w="1776"/>
        <w:gridCol w:w="1953"/>
        <w:gridCol w:w="1776"/>
      </w:tblGrid>
      <w:tr>
        <w:tc>
          <w:tcPr>
            <w:tcW w:type="dxa" w:w="1243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ID</w:t>
            </w:r>
          </w:p>
        </w:tc>
        <w:tc>
          <w:tcPr>
            <w:tcW w:type="dxa" w:w="2664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Propriétaire</w:t>
            </w:r>
          </w:p>
        </w:tc>
        <w:tc>
          <w:tcPr>
            <w:tcW w:type="dxa" w:w="1776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Résiduel (G/V)</w:t>
            </w:r>
          </w:p>
        </w:tc>
        <w:tc>
          <w:tcPr>
            <w:tcW w:type="dxa" w:w="1953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Stratégie</w:t>
            </w:r>
          </w:p>
        </w:tc>
        <w:tc>
          <w:tcPr>
            <w:tcW w:type="dxa" w:w="1776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Statut</w:t>
            </w:r>
          </w:p>
        </w:tc>
      </w:tr>
      <w:tr>
        <w:tc>
          <w:tcPr>
            <w:tcW w:type="dxa" w:w="124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SO-01</w:t>
            </w:r>
          </w:p>
        </w:tc>
        <w:tc>
          <w:tcPr>
            <w:tcW w:type="dxa" w:w="2664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RSSI</w:t>
            </w:r>
          </w:p>
        </w:tc>
        <w:tc>
          <w:tcPr>
            <w:tcW w:type="dxa" w:w="177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3/1</w:t>
            </w:r>
          </w:p>
        </w:tc>
        <w:tc>
          <w:tcPr>
            <w:tcW w:type="dxa" w:w="195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Réduire</w:t>
            </w:r>
          </w:p>
        </w:tc>
        <w:tc>
          <w:tcPr>
            <w:tcW w:type="dxa" w:w="177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En traitement</w:t>
            </w:r>
          </w:p>
        </w:tc>
      </w:tr>
      <w:tr>
        <w:tc>
          <w:tcPr>
            <w:tcW w:type="dxa" w:w="124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SO-02</w:t>
            </w:r>
          </w:p>
        </w:tc>
        <w:tc>
          <w:tcPr>
            <w:tcW w:type="dxa" w:w="2664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Directeur des Paiements</w:t>
            </w:r>
          </w:p>
        </w:tc>
        <w:tc>
          <w:tcPr>
            <w:tcW w:type="dxa" w:w="177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3/2</w:t>
            </w:r>
          </w:p>
        </w:tc>
        <w:tc>
          <w:tcPr>
            <w:tcW w:type="dxa" w:w="195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Réduire</w:t>
            </w:r>
          </w:p>
        </w:tc>
        <w:tc>
          <w:tcPr>
            <w:tcW w:type="dxa" w:w="177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Ouvert</w:t>
            </w:r>
          </w:p>
        </w:tc>
      </w:tr>
    </w:tbl>
    <w:p/>
    <w:p>
      <w:pPr>
        <w:spacing w:before="200" w:after="40"/>
      </w:pPr>
      <w:r>
        <w:rPr>
          <w:b/>
          <w:i w:val="0"/>
          <w:color w:val="0C2317"/>
          <w:sz w:val="21"/>
        </w:rPr>
        <w:t>2.4 Cas réels versés au dossier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012"/>
        <w:gridCol w:w="6400"/>
      </w:tblGrid>
      <w:tr>
        <w:tc>
          <w:tcPr>
            <w:tcW w:type="dxa" w:w="3012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Cas réel</w:t>
            </w:r>
          </w:p>
        </w:tc>
        <w:tc>
          <w:tcPr>
            <w:tcW w:type="dxa" w:w="6400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Enseignement retenu pour ce client</w:t>
            </w:r>
          </w:p>
        </w:tc>
      </w:tr>
      <w:tr>
        <w:tc>
          <w:tcPr>
            <w:tcW w:type="dxa" w:w="301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Incident SolarWinds (2020)</w:t>
            </w:r>
          </w:p>
        </w:tc>
        <w:tc>
          <w:tcPr>
            <w:tcW w:type="dxa" w:w="640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La chaîne d'approvisionnement logicielle est un vecteur d'entrée légitime et signé — d'où l'exigence DORA de registre des prestataires.</w:t>
            </w:r>
          </w:p>
        </w:tc>
      </w:tr>
      <w:tr>
        <w:tc>
          <w:tcPr>
            <w:tcW w:type="dxa" w:w="301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Panne TSB (2018) — migration bancaire</w:t>
            </w:r>
          </w:p>
        </w:tc>
        <w:tc>
          <w:tcPr>
            <w:tcW w:type="dxa" w:w="640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Une bascule mal testée coûte plus cher qu'une attaque : le test de bascule est une exigence, pas une bonne pratique.</w:t>
            </w:r>
          </w:p>
        </w:tc>
      </w:tr>
    </w:tbl>
    <w:p/>
    <w:p>
      <w:pPr>
        <w:spacing w:before="400" w:after="160"/>
        <w:pBdr>
          <w:bottom w:val="single" w:sz="16" w:space="4" w:color="2EE6A0"/>
        </w:pBdr>
      </w:pPr>
      <w:r>
        <w:rPr>
          <w:b/>
          <w:i w:val="0"/>
          <w:color w:val="2EE6A0"/>
          <w:sz w:val="28"/>
        </w:rPr>
        <w:t xml:space="preserve">3. </w:t>
      </w:r>
      <w:r>
        <w:rPr>
          <w:b/>
          <w:i w:val="0"/>
          <w:color w:val="0C2317"/>
          <w:sz w:val="28"/>
        </w:rPr>
        <w:t>Écosystème et risques tiers</w:t>
      </w:r>
    </w:p>
    <w:p>
      <w:r>
        <w:rPr>
          <w:b w:val="0"/>
          <w:i w:val="0"/>
          <w:color w:val="6B7F78"/>
          <w:sz w:val="18"/>
        </w:rPr>
        <w:t>Ce volet ne produit aucun score de risque : ni DORA ni NIS2 ne se réclament d'EBIOS RM. La conformité se démontre par des preuves.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080"/>
        <w:gridCol w:w="2567"/>
        <w:gridCol w:w="3765"/>
      </w:tblGrid>
      <w:tr>
        <w:tc>
          <w:tcPr>
            <w:tcW w:type="dxa" w:w="3080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Prestataire</w:t>
            </w:r>
          </w:p>
        </w:tc>
        <w:tc>
          <w:tcPr>
            <w:tcW w:type="dxa" w:w="2567"/>
            <w:shd w:val="clear" w:color="auto" w:fill="F2FBF7"/>
            <w:tcBorders>
              <w:bottom w:val="single" w:sz="6" w:space="0" w:color="C9DBD3"/>
            </w:tcBorders>
          </w:tcPr>
          <w:p>
            <w:pPr>
              <w:jc w:val="right"/>
            </w:pPr>
            <w:r>
              <w:rPr>
                <w:b/>
                <w:i w:val="0"/>
                <w:color w:val="0C2317"/>
                <w:sz w:val="16"/>
              </w:rPr>
              <w:t>Exigences satisfaites</w:t>
            </w:r>
          </w:p>
        </w:tc>
        <w:tc>
          <w:tcPr>
            <w:tcW w:type="dxa" w:w="3765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Écarts restants</w:t>
            </w:r>
          </w:p>
        </w:tc>
      </w:tr>
      <w:tr>
        <w:tc>
          <w:tcPr>
            <w:tcW w:type="dxa" w:w="308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Éditeur core banking (prestataire critique)</w:t>
            </w:r>
          </w:p>
        </w:tc>
        <w:tc>
          <w:tcPr>
            <w:tcW w:type="dxa" w:w="2567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2/4 (50 %)</w:t>
            </w:r>
          </w:p>
        </w:tc>
        <w:tc>
          <w:tcPr>
            <w:tcW w:type="dxa" w:w="376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Clauses contractuelles obligatoires signées (DORA Art. 30) ; Stratégie de sortie documentée et testable</w:t>
            </w:r>
          </w:p>
        </w:tc>
      </w:tr>
      <w:tr>
        <w:tc>
          <w:tcPr>
            <w:tcW w:type="dxa" w:w="308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Opérateur d'interconnexion STET</w:t>
            </w:r>
          </w:p>
        </w:tc>
        <w:tc>
          <w:tcPr>
            <w:tcW w:type="dxa" w:w="2567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4/4 (100 %)</w:t>
            </w:r>
          </w:p>
        </w:tc>
        <w:tc>
          <w:tcPr>
            <w:tcW w:type="dxa" w:w="376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Conforme</w:t>
            </w:r>
          </w:p>
        </w:tc>
      </w:tr>
      <w:tr>
        <w:tc>
          <w:tcPr>
            <w:tcW w:type="dxa" w:w="308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Hébergeur du site de repli</w:t>
            </w:r>
          </w:p>
        </w:tc>
        <w:tc>
          <w:tcPr>
            <w:tcW w:type="dxa" w:w="2567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0/4 (0 %)</w:t>
            </w:r>
          </w:p>
        </w:tc>
        <w:tc>
          <w:tcPr>
            <w:tcW w:type="dxa" w:w="376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Inscrit au registre d'information (DORA Art. 28.3) ; Clauses contractuelles obligatoires signées (DORA Art. 30) ; Stratégie de sortie documentée et testable ; Évaluation réalisée avant acquisition (NIST ID.RA-10)</w:t>
            </w:r>
          </w:p>
        </w:tc>
      </w:tr>
      <w:tr>
        <w:tc>
          <w:tcPr>
            <w:tcW w:type="dxa" w:w="308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Prestataire d'infogérance poste de travail</w:t>
            </w:r>
          </w:p>
        </w:tc>
        <w:tc>
          <w:tcPr>
            <w:tcW w:type="dxa" w:w="2567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0/4 (0 %)</w:t>
            </w:r>
          </w:p>
        </w:tc>
        <w:tc>
          <w:tcPr>
            <w:tcW w:type="dxa" w:w="376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Inscrit au registre d'information (DORA Art. 28.3) ; Clauses contractuelles obligatoires signées (DORA Art. 30) ; Stratégie de sortie documentée et testable ; Évaluation réalisée avant acquisition (NIST ID.RA-10)</w:t>
            </w:r>
          </w:p>
        </w:tc>
      </w:tr>
    </w:tbl>
    <w:p/>
    <w:p>
      <w:pPr>
        <w:spacing w:before="400" w:after="160"/>
        <w:pBdr>
          <w:bottom w:val="single" w:sz="16" w:space="4" w:color="2EE6A0"/>
        </w:pBdr>
      </w:pPr>
      <w:r>
        <w:rPr>
          <w:b/>
          <w:i w:val="0"/>
          <w:color w:val="2EE6A0"/>
          <w:sz w:val="28"/>
        </w:rPr>
        <w:t xml:space="preserve">4. </w:t>
      </w:r>
      <w:r>
        <w:rPr>
          <w:b/>
          <w:i w:val="0"/>
          <w:color w:val="0C2317"/>
          <w:sz w:val="28"/>
        </w:rPr>
        <w:t>Plan d'action &amp; traitement</w:t>
      </w:r>
    </w:p>
    <w:p>
      <w:pPr>
        <w:spacing w:after="120"/>
      </w:pPr>
      <w:r>
        <w:rPr>
          <w:b w:val="0"/>
          <w:i w:val="0"/>
          <w:color w:val="33403B"/>
          <w:sz w:val="20"/>
        </w:rPr>
        <w:t>Chaque mesure ci-dessous répond à un scénario ou à un écart constaté au chapitre 2.</w:t>
      </w:r>
    </w:p>
    <w:p>
      <w:pPr>
        <w:spacing w:before="200" w:after="40"/>
      </w:pPr>
      <w:r>
        <w:rPr>
          <w:b/>
          <w:i w:val="0"/>
          <w:color w:val="0C2317"/>
          <w:sz w:val="21"/>
        </w:rPr>
        <w:t>4.1 Mesures priorisées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198"/>
        <w:gridCol w:w="1711"/>
        <w:gridCol w:w="1882"/>
        <w:gridCol w:w="4620"/>
      </w:tblGrid>
      <w:tr>
        <w:tc>
          <w:tcPr>
            <w:tcW w:type="dxa" w:w="1198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ID</w:t>
            </w:r>
          </w:p>
        </w:tc>
        <w:tc>
          <w:tcPr>
            <w:tcW w:type="dxa" w:w="1711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Priorité</w:t>
            </w:r>
          </w:p>
        </w:tc>
        <w:tc>
          <w:tcPr>
            <w:tcW w:type="dxa" w:w="1882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Axe</w:t>
            </w:r>
          </w:p>
        </w:tc>
        <w:tc>
          <w:tcPr>
            <w:tcW w:type="dxa" w:w="4620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Mesure de traitement</w:t>
            </w:r>
          </w:p>
        </w:tc>
      </w:tr>
      <w:tr>
        <w:tc>
          <w:tcPr>
            <w:tcW w:type="dxa" w:w="11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REM-01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  <w:shd w:val="clear" w:color="auto" w:fill="FDEAED"/>
          </w:tcPr>
          <w:p>
            <w:r>
              <w:rPr>
                <w:b/>
                <w:i w:val="0"/>
                <w:color w:val="A3243C"/>
                <w:sz w:val="17"/>
              </w:rPr>
              <w:t>Critique</w:t>
            </w:r>
          </w:p>
        </w:tc>
        <w:tc>
          <w:tcPr>
            <w:tcW w:type="dxa" w:w="188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Gouvernance</w:t>
            </w:r>
          </w:p>
        </w:tc>
        <w:tc>
          <w:tcPr>
            <w:tcW w:type="dxa" w:w="462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Formaliser la procédure de retrait des accès au départ et clôturer les 14 comptes actifs de sortants — écart ISO A.7.</w:t>
            </w:r>
          </w:p>
        </w:tc>
      </w:tr>
      <w:tr>
        <w:tc>
          <w:tcPr>
            <w:tcW w:type="dxa" w:w="11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REM-02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  <w:shd w:val="clear" w:color="auto" w:fill="FDEAED"/>
          </w:tcPr>
          <w:p>
            <w:r>
              <w:rPr>
                <w:b/>
                <w:i w:val="0"/>
                <w:color w:val="A3243C"/>
                <w:sz w:val="17"/>
              </w:rPr>
              <w:t>Critique</w:t>
            </w:r>
          </w:p>
        </w:tc>
        <w:tc>
          <w:tcPr>
            <w:tcW w:type="dxa" w:w="188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Gouvernance</w:t>
            </w:r>
          </w:p>
        </w:tc>
        <w:tc>
          <w:tcPr>
            <w:tcW w:type="dxa" w:w="462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Compléter le registre d'information DORA (Art. 28.3) pour les 3 prestataires critiques manquants avant l'échéance ACPR.</w:t>
            </w:r>
          </w:p>
        </w:tc>
      </w:tr>
      <w:tr>
        <w:tc>
          <w:tcPr>
            <w:tcW w:type="dxa" w:w="11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REM-03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  <w:shd w:val="clear" w:color="auto" w:fill="FDF3E0"/>
          </w:tcPr>
          <w:p>
            <w:r>
              <w:rPr>
                <w:b/>
                <w:i w:val="0"/>
                <w:color w:val="8A5B00"/>
                <w:sz w:val="17"/>
              </w:rPr>
              <w:t>Élevé</w:t>
            </w:r>
          </w:p>
        </w:tc>
        <w:tc>
          <w:tcPr>
            <w:tcW w:type="dxa" w:w="188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Protection</w:t>
            </w:r>
          </w:p>
        </w:tc>
        <w:tc>
          <w:tcPr>
            <w:tcW w:type="dxa" w:w="462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Rapprocher l'inventaire des actifs du parc réel et intégrer les 37 serveurs découverts — écart ISO A.8.</w:t>
            </w:r>
          </w:p>
        </w:tc>
      </w:tr>
      <w:tr>
        <w:tc>
          <w:tcPr>
            <w:tcW w:type="dxa" w:w="11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REM-04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  <w:shd w:val="clear" w:color="auto" w:fill="FDF3E0"/>
          </w:tcPr>
          <w:p>
            <w:r>
              <w:rPr>
                <w:b/>
                <w:i w:val="0"/>
                <w:color w:val="8A5B00"/>
                <w:sz w:val="17"/>
              </w:rPr>
              <w:t>Élevé</w:t>
            </w:r>
          </w:p>
        </w:tc>
        <w:tc>
          <w:tcPr>
            <w:tcW w:type="dxa" w:w="188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Gouvernance</w:t>
            </w:r>
          </w:p>
        </w:tc>
        <w:tc>
          <w:tcPr>
            <w:tcW w:type="dxa" w:w="462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Documenter et tester une stratégie de sortie pour le prestataire core banking — exigence DORA.</w:t>
            </w:r>
          </w:p>
        </w:tc>
      </w:tr>
      <w:tr>
        <w:tc>
          <w:tcPr>
            <w:tcW w:type="dxa" w:w="11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REM-05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  <w:shd w:val="clear" w:color="auto" w:fill="E8F4FD"/>
          </w:tcPr>
          <w:p>
            <w:r>
              <w:rPr>
                <w:b/>
                <w:i w:val="0"/>
                <w:color w:val="1D5F88"/>
                <w:sz w:val="17"/>
              </w:rPr>
              <w:t>Moyen</w:t>
            </w:r>
          </w:p>
        </w:tc>
        <w:tc>
          <w:tcPr>
            <w:tcW w:type="dxa" w:w="188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Défense</w:t>
            </w:r>
          </w:p>
        </w:tc>
        <w:tc>
          <w:tcPr>
            <w:tcW w:type="dxa" w:w="462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Étendre la collecte SIEM aux journaux applicatifs du core banking, aujourd'hui absents des 380 sources.</w:t>
            </w:r>
          </w:p>
        </w:tc>
      </w:tr>
    </w:tbl>
    <w:p/>
    <w:p>
      <w:pPr>
        <w:spacing w:before="200" w:after="40"/>
      </w:pPr>
      <w:r>
        <w:rPr>
          <w:b/>
          <w:i w:val="0"/>
          <w:color w:val="0C2317"/>
          <w:sz w:val="21"/>
        </w:rPr>
        <w:t>4.1bis Pilotage (responsable, échéance, statut)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27"/>
        <w:gridCol w:w="2396"/>
        <w:gridCol w:w="1711"/>
        <w:gridCol w:w="1711"/>
        <w:gridCol w:w="2567"/>
      </w:tblGrid>
      <w:tr>
        <w:tc>
          <w:tcPr>
            <w:tcW w:type="dxa" w:w="1027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ID</w:t>
            </w:r>
          </w:p>
        </w:tc>
        <w:tc>
          <w:tcPr>
            <w:tcW w:type="dxa" w:w="2396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Responsable</w:t>
            </w:r>
          </w:p>
        </w:tc>
        <w:tc>
          <w:tcPr>
            <w:tcW w:type="dxa" w:w="1711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Échéance</w:t>
            </w:r>
          </w:p>
        </w:tc>
        <w:tc>
          <w:tcPr>
            <w:tcW w:type="dxa" w:w="1711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Statut</w:t>
            </w:r>
          </w:p>
        </w:tc>
        <w:tc>
          <w:tcPr>
            <w:tcW w:type="dxa" w:w="2567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Coût estimé</w:t>
            </w:r>
          </w:p>
        </w:tc>
      </w:tr>
      <w:tr>
        <w:tc>
          <w:tcPr>
            <w:tcW w:type="dxa" w:w="1027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REM-01</w:t>
            </w:r>
          </w:p>
        </w:tc>
        <w:tc>
          <w:tcPr>
            <w:tcW w:type="dxa" w:w="239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DSI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2026-09-15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En cours</w:t>
            </w:r>
          </w:p>
        </w:tc>
        <w:tc>
          <w:tcPr>
            <w:tcW w:type="dxa" w:w="2567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Négligeable</w:t>
            </w:r>
          </w:p>
        </w:tc>
      </w:tr>
      <w:tr>
        <w:tc>
          <w:tcPr>
            <w:tcW w:type="dxa" w:w="1027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REM-02</w:t>
            </w:r>
          </w:p>
        </w:tc>
        <w:tc>
          <w:tcPr>
            <w:tcW w:type="dxa" w:w="239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RSSI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2026-09-30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À faire</w:t>
            </w:r>
          </w:p>
        </w:tc>
        <w:tc>
          <w:tcPr>
            <w:tcW w:type="dxa" w:w="2567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Négligeable</w:t>
            </w:r>
          </w:p>
        </w:tc>
      </w:tr>
      <w:tr>
        <w:tc>
          <w:tcPr>
            <w:tcW w:type="dxa" w:w="1027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REM-03</w:t>
            </w:r>
          </w:p>
        </w:tc>
        <w:tc>
          <w:tcPr>
            <w:tcW w:type="dxa" w:w="239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DSI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2026-11-15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À faire</w:t>
            </w:r>
          </w:p>
        </w:tc>
        <w:tc>
          <w:tcPr>
            <w:tcW w:type="dxa" w:w="2567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Moyen</w:t>
            </w:r>
          </w:p>
        </w:tc>
      </w:tr>
      <w:tr>
        <w:tc>
          <w:tcPr>
            <w:tcW w:type="dxa" w:w="1027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REM-04</w:t>
            </w:r>
          </w:p>
        </w:tc>
        <w:tc>
          <w:tcPr>
            <w:tcW w:type="dxa" w:w="239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RSSI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2026-12-01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À faire</w:t>
            </w:r>
          </w:p>
        </w:tc>
        <w:tc>
          <w:tcPr>
            <w:tcW w:type="dxa" w:w="2567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Négligeable</w:t>
            </w:r>
          </w:p>
        </w:tc>
      </w:tr>
      <w:tr>
        <w:tc>
          <w:tcPr>
            <w:tcW w:type="dxa" w:w="1027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REM-05</w:t>
            </w:r>
          </w:p>
        </w:tc>
        <w:tc>
          <w:tcPr>
            <w:tcW w:type="dxa" w:w="239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RSSI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2026-10-15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À faire</w:t>
            </w:r>
          </w:p>
        </w:tc>
        <w:tc>
          <w:tcPr>
            <w:tcW w:type="dxa" w:w="2567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Moyen</w:t>
            </w:r>
          </w:p>
        </w:tc>
      </w:tr>
    </w:tbl>
    <w:p/>
    <w:p>
      <w:pPr>
        <w:spacing w:before="200" w:after="40"/>
      </w:pPr>
      <w:r>
        <w:rPr>
          <w:b/>
          <w:i w:val="0"/>
          <w:color w:val="0C2317"/>
          <w:sz w:val="21"/>
        </w:rPr>
        <w:t>4.2 Actions immédiates</w:t>
      </w:r>
    </w:p>
    <w:p>
      <w:pPr>
        <w:pStyle w:val="ListNumber"/>
      </w:pPr>
      <w:r>
        <w:rPr>
          <w:b w:val="0"/>
          <w:i w:val="0"/>
          <w:color w:val="33403B"/>
          <w:sz w:val="19"/>
        </w:rPr>
        <w:t>Clôturer les 3 comptes à privilèges de personnes sorties</w:t>
      </w:r>
    </w:p>
    <w:p>
      <w:pPr>
        <w:pStyle w:val="ListNumber"/>
      </w:pPr>
      <w:r>
        <w:rPr>
          <w:b w:val="0"/>
          <w:i w:val="0"/>
          <w:color w:val="33403B"/>
          <w:sz w:val="19"/>
        </w:rPr>
        <w:t>Publier la liste des prestataires critiques au registre DORA</w:t>
      </w:r>
    </w:p>
    <w:p>
      <w:pPr>
        <w:pStyle w:val="ListNumber"/>
      </w:pPr>
      <w:r>
        <w:rPr>
          <w:b w:val="0"/>
          <w:i w:val="0"/>
          <w:color w:val="33403B"/>
          <w:sz w:val="19"/>
        </w:rPr>
        <w:t>Activer l'alerte SIEM sur création de compte à privilèges</w:t>
      </w:r>
    </w:p>
    <w:p>
      <w:pPr>
        <w:pStyle w:val="ListNumber"/>
      </w:pPr>
      <w:r>
        <w:rPr>
          <w:b w:val="0"/>
          <w:i w:val="0"/>
          <w:color w:val="33403B"/>
          <w:sz w:val="19"/>
        </w:rPr>
        <w:t>Vérifier la couverture EDR des 37 serveurs découverts</w:t>
      </w:r>
    </w:p>
    <w:p>
      <w:pPr>
        <w:pStyle w:val="ListNumber"/>
      </w:pPr>
      <w:r>
        <w:rPr>
          <w:b w:val="0"/>
          <w:i w:val="0"/>
          <w:color w:val="33403B"/>
          <w:sz w:val="19"/>
        </w:rPr>
        <w:t>Planifier le prochain test de bascule avec procès-verbal</w:t>
      </w:r>
    </w:p>
    <w:p>
      <w:pPr>
        <w:pStyle w:val="ListNumber"/>
      </w:pPr>
      <w:r>
        <w:rPr>
          <w:b w:val="0"/>
          <w:i w:val="0"/>
          <w:color w:val="33403B"/>
          <w:sz w:val="19"/>
        </w:rPr>
        <w:t>Confirmer la clause de sortie du contrat core banking</w:t>
      </w:r>
    </w:p>
    <w:sectPr w:rsidR="00FC693F" w:rsidRPr="0006063C" w:rsidSect="00034616">
      <w:footerReference w:type="default" r:id="rId10"/>
      <w:pgSz w:w="11906" w:h="16838"/>
      <w:pgMar w:top="907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33403B"/>
        <w:sz w:val="14"/>
      </w:rPr>
      <w:t>GREEN SHIELD — Cabinet non renseigné · Document confidentiel, ne pas diffuser sans autorisation écrite.</w:t>
    </w:r>
  </w:p>
  <w:p>
    <w:pPr>
      <w:jc w:val="center"/>
    </w:pPr>
    <w:r>
      <w:rPr>
        <w:b w:val="0"/>
        <w:i w:val="0"/>
        <w:color w:val="33403B"/>
        <w:sz w:val="13"/>
      </w:rPr>
      <w:t>Empreinte SHA-256 de l'état de la mission à l'édition : 870d095ccce86180b4371c414e51921b436ce7160191eb6b8b033d69f8406603</w:t>
    </w:r>
  </w:p>
  <w:p>
    <w:pPr>
      <w:jc w:val="center"/>
    </w:pPr>
    <w:r>
      <w:rPr>
        <w:b w:val="0"/>
        <w:i/>
        <w:color w:val="33403B"/>
        <w:sz w:val="13"/>
      </w:rPr>
      <w:t>Toute modification ultérieure de la mission, même rétablie, produit une empreinte différente.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403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