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412"/>
      </w:tblGrid>
      <w:tr>
        <w:trPr>
          <w:trHeight w:val="14571" w:hRule="atLeast"/>
        </w:trPr>
        <w:tc>
          <w:tcPr>
            <w:tcW w:type="dxa" w:w="9412"/>
            <w:vAlign w:val="center"/>
            <w:shd w:val="clear" w:color="auto" w:fill="04150E"/>
          </w:tcPr>
          <w:p>
            <w:pPr>
              <w:jc w:val="center"/>
            </w:pPr>
            <w:r>
              <w:drawing>
                <wp:inline xmlns:a="http://schemas.openxmlformats.org/drawingml/2006/main" xmlns:pic="http://schemas.openxmlformats.org/drawingml/2006/picture">
                  <wp:extent cx="684000" cy="68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4000" cy="684000"/>
                          </a:xfrm>
                          <a:prstGeom prst="rect"/>
                        </pic:spPr>
                      </pic:pic>
                    </a:graphicData>
                  </a:graphic>
                </wp:inline>
              </w:drawing>
            </w:r>
          </w:p>
          <w:p>
            <w:pPr>
              <w:spacing w:before="120"/>
              <w:jc w:val="center"/>
            </w:pPr>
            <w:r>
              <w:rPr>
                <w:b/>
                <w:i w:val="0"/>
                <w:color w:val="FFFFFF"/>
                <w:sz w:val="26"/>
              </w:rPr>
              <w:t>GREEN SHIELD</w:t>
            </w:r>
          </w:p>
          <w:p>
            <w:pPr>
              <w:jc w:val="center"/>
            </w:pPr>
            <w:r>
              <w:rPr>
                <w:b w:val="0"/>
                <w:i/>
                <w:color w:val="7BF3C8"/>
                <w:sz w:val="18"/>
              </w:rPr>
              <w:t>Cabinet non renseigné</w:t>
            </w:r>
          </w:p>
          <w:p>
            <w:pPr>
              <w:spacing w:before="560"/>
              <w:jc w:val="center"/>
            </w:pPr>
            <w:r>
              <w:rPr>
                <w:b/>
                <w:i w:val="0"/>
                <w:color w:val="FFFFFF"/>
                <w:sz w:val="44"/>
              </w:rPr>
              <w:t>Analyse d'impact relative à la protection des données (AIPD / PIA)</w:t>
            </w:r>
          </w:p>
          <w:p>
            <w:pPr>
              <w:spacing w:before="120"/>
              <w:jc w:val="center"/>
            </w:pPr>
            <w:r>
              <w:rPr>
                <w:b/>
                <w:i w:val="0"/>
                <w:color w:val="2EE6A0"/>
                <w:sz w:val="28"/>
              </w:rPr>
              <w:t>Banque Aurore SA</w:t>
            </w:r>
          </w:p>
          <w:p>
            <w:pPr>
              <w:jc w:val="center"/>
            </w:pPr>
            <w:r>
              <w:rPr>
                <w:b w:val="0"/>
                <w:i w:val="0"/>
                <w:color w:val="A8C6BC"/>
                <w:sz w:val="20"/>
              </w:rPr>
              <w:t>Audit de conformité ISO 27001 &amp; DORA</w:t>
            </w:r>
          </w:p>
          <w:p>
            <w:pPr>
              <w:spacing w:before="400"/>
              <w:jc w:val="center"/>
            </w:pPr>
            <w:r>
              <w:rPr>
                <w:b w:val="0"/>
                <w:i w:val="0"/>
                <w:color w:val="8FB3A8"/>
                <w:sz w:val="17"/>
              </w:rPr>
              <w:t xml:space="preserve">Réf. mission : </w:t>
            </w:r>
            <w:r>
              <w:rPr>
                <w:b/>
                <w:i w:val="0"/>
                <w:color w:val="EAF4F0"/>
                <w:sz w:val="17"/>
              </w:rPr>
              <w:t>audit_de_conformite_iso_27001_et_dora</w:t>
            </w:r>
            <w:r>
              <w:rPr>
                <w:color w:val="3E5A50"/>
              </w:rPr>
              <w:t xml:space="preserve">    ·    </w:t>
            </w:r>
            <w:r>
              <w:rPr>
                <w:b w:val="0"/>
                <w:i w:val="0"/>
                <w:color w:val="8FB3A8"/>
                <w:sz w:val="17"/>
              </w:rPr>
              <w:t xml:space="preserve">DPO : </w:t>
            </w:r>
            <w:r>
              <w:rPr>
                <w:b/>
                <w:i w:val="0"/>
                <w:color w:val="EAF4F0"/>
                <w:sz w:val="17"/>
              </w:rPr>
              <w:t>Enregistré au registre</w:t>
            </w:r>
            <w:r>
              <w:rPr>
                <w:color w:val="3E5A50"/>
              </w:rPr>
              <w:t xml:space="preserve">    ·    </w:t>
            </w:r>
            <w:r>
              <w:rPr>
                <w:b w:val="0"/>
                <w:i w:val="0"/>
                <w:color w:val="8FB3A8"/>
                <w:sz w:val="17"/>
              </w:rPr>
              <w:t xml:space="preserve">Auditeur : </w:t>
            </w:r>
            <w:r>
              <w:rPr>
                <w:b/>
                <w:i w:val="0"/>
                <w:color w:val="EAF4F0"/>
                <w:sz w:val="17"/>
              </w:rPr>
              <w:t>—</w:t>
            </w:r>
            <w:r>
              <w:rPr>
                <w:color w:val="3E5A50"/>
              </w:rPr>
              <w:t xml:space="preserve">    ·    </w:t>
            </w:r>
            <w:r>
              <w:rPr>
                <w:b w:val="0"/>
                <w:i w:val="0"/>
                <w:color w:val="8FB3A8"/>
                <w:sz w:val="17"/>
              </w:rPr>
              <w:t xml:space="preserve">Cabinet : </w:t>
            </w:r>
            <w:r>
              <w:rPr>
                <w:b/>
                <w:i w:val="0"/>
                <w:color w:val="EAF4F0"/>
                <w:sz w:val="17"/>
              </w:rPr>
              <w:t>Cabinet non renseigné</w:t>
            </w:r>
            <w:r>
              <w:rPr>
                <w:color w:val="3E5A50"/>
              </w:rPr>
              <w:t xml:space="preserve">    ·    </w:t>
            </w:r>
            <w:r>
              <w:rPr>
                <w:b w:val="0"/>
                <w:i w:val="0"/>
                <w:color w:val="8FB3A8"/>
                <w:sz w:val="17"/>
              </w:rPr>
              <w:t xml:space="preserve">Édité le : </w:t>
            </w:r>
            <w:r>
              <w:rPr>
                <w:b/>
                <w:i w:val="0"/>
                <w:color w:val="EAF4F0"/>
                <w:sz w:val="17"/>
              </w:rPr>
              <w:t>31/07/2026</w:t>
            </w:r>
          </w:p>
          <w:p>
            <w:pPr>
              <w:spacing w:before="360"/>
              <w:jc w:val="center"/>
            </w:pPr>
            <w:r>
              <w:rPr>
                <w:b/>
                <w:i w:val="0"/>
                <w:color w:val="7BF3C8"/>
                <w:sz w:val="16"/>
              </w:rPr>
              <w:t xml:space="preserve">  DOCUMENT CONFIDENTIEL — DIFFUSION RESTREINTE  </w:t>
            </w:r>
          </w:p>
        </w:tc>
      </w:tr>
    </w:tbl>
    <w:p>
      <w:r>
        <w:br w:type="page"/>
      </w:r>
    </w:p>
    <w:p>
      <w:pPr>
        <w:spacing w:after="160"/>
      </w:pPr>
      <w:r>
        <w:rPr>
          <w:b/>
          <w:i w:val="0"/>
          <w:color w:val="0C2317"/>
          <w:sz w:val="26"/>
        </w:rPr>
        <w:t>Sommaire</w:t>
      </w:r>
    </w:p>
    <w:p>
      <w:pPr>
        <w:spacing w:after="40"/>
      </w:pPr>
      <w:r>
        <w:rPr>
          <w:b w:val="0"/>
          <w:i w:val="0"/>
          <w:color w:val="2EE6A0"/>
          <w:sz w:val="20"/>
        </w:rPr>
        <w:t xml:space="preserve">1.  </w:t>
      </w:r>
      <w:r>
        <w:rPr>
          <w:b w:val="0"/>
          <w:i w:val="0"/>
          <w:color w:val="33403B"/>
          <w:sz w:val="20"/>
        </w:rPr>
        <w:t>Registre des activités de traitement (RGPD Art. 30)</w:t>
      </w:r>
    </w:p>
    <w:p>
      <w:pPr>
        <w:spacing w:after="40"/>
      </w:pPr>
      <w:r>
        <w:rPr>
          <w:b w:val="0"/>
          <w:i w:val="0"/>
          <w:color w:val="2EE6A0"/>
          <w:sz w:val="20"/>
        </w:rPr>
        <w:t xml:space="preserve">2.  </w:t>
      </w:r>
      <w:r>
        <w:rPr>
          <w:b w:val="0"/>
          <w:i w:val="0"/>
          <w:color w:val="33403B"/>
          <w:sz w:val="20"/>
        </w:rPr>
        <w:t>Analyse d'impact systématique (PIA)</w:t>
      </w:r>
    </w:p>
    <w:p>
      <w:pPr>
        <w:spacing w:after="40"/>
      </w:pPr>
      <w:r>
        <w:rPr>
          <w:b w:val="0"/>
          <w:i w:val="0"/>
          <w:color w:val="2EE6A0"/>
          <w:sz w:val="20"/>
        </w:rPr>
        <w:t xml:space="preserve">3.  </w:t>
      </w:r>
      <w:r>
        <w:rPr>
          <w:b w:val="0"/>
          <w:i w:val="0"/>
          <w:color w:val="33403B"/>
          <w:sz w:val="20"/>
        </w:rPr>
        <w:t>Obligations organisationnelles (conduite de l'AIPD)</w:t>
      </w:r>
    </w:p>
    <w:p>
      <w:r>
        <w:br w:type="page"/>
      </w:r>
    </w:p>
    <w:p>
      <w:pPr>
        <w:spacing w:before="80" w:after="160"/>
        <w:pBdr>
          <w:bottom w:val="single" w:sz="16" w:space="4" w:color="2EE6A0"/>
        </w:pBdr>
      </w:pPr>
      <w:r>
        <w:rPr>
          <w:b/>
          <w:i w:val="0"/>
          <w:color w:val="2EE6A0"/>
          <w:sz w:val="28"/>
        </w:rPr>
        <w:t xml:space="preserve">1. </w:t>
      </w:r>
      <w:r>
        <w:rPr>
          <w:b/>
          <w:i w:val="0"/>
          <w:color w:val="0C2317"/>
          <w:sz w:val="28"/>
        </w:rPr>
        <w:t>Registre des activités de traitement (RGPD Art. 30)</w:t>
      </w:r>
    </w:p>
    <w:tbl>
      <w:tblPr>
        <w:tblW w:type="auto" w:w="0"/>
        <w:jc w:val="left"/>
        <w:tblLayout w:type="fixed"/>
        <w:tblLook w:firstColumn="1" w:firstRow="1" w:lastColumn="0" w:lastRow="0" w:noHBand="0" w:noVBand="1" w:val="04A0"/>
      </w:tblPr>
      <w:tblGrid>
        <w:gridCol w:w="890"/>
        <w:gridCol w:w="2035"/>
        <w:gridCol w:w="2544"/>
        <w:gridCol w:w="2289"/>
        <w:gridCol w:w="1653"/>
      </w:tblGrid>
      <w:tr>
        <w:tc>
          <w:tcPr>
            <w:tcW w:type="dxa" w:w="890"/>
            <w:shd w:val="clear" w:color="auto" w:fill="F2FBF7"/>
            <w:tcBorders>
              <w:bottom w:val="single" w:sz="6" w:space="0" w:color="C9DBD3"/>
            </w:tcBorders>
          </w:tcPr>
          <w:p>
            <w:r>
              <w:rPr>
                <w:b/>
                <w:i w:val="0"/>
                <w:color w:val="0C2317"/>
                <w:sz w:val="16"/>
              </w:rPr>
              <w:t>ID</w:t>
            </w:r>
          </w:p>
        </w:tc>
        <w:tc>
          <w:tcPr>
            <w:tcW w:type="dxa" w:w="2035"/>
            <w:shd w:val="clear" w:color="auto" w:fill="F2FBF7"/>
            <w:tcBorders>
              <w:bottom w:val="single" w:sz="6" w:space="0" w:color="C9DBD3"/>
            </w:tcBorders>
          </w:tcPr>
          <w:p>
            <w:r>
              <w:rPr>
                <w:b/>
                <w:i w:val="0"/>
                <w:color w:val="0C2317"/>
                <w:sz w:val="16"/>
              </w:rPr>
              <w:t>Activité de traitement</w:t>
            </w:r>
          </w:p>
        </w:tc>
        <w:tc>
          <w:tcPr>
            <w:tcW w:type="dxa" w:w="2544"/>
            <w:shd w:val="clear" w:color="auto" w:fill="F2FBF7"/>
            <w:tcBorders>
              <w:bottom w:val="single" w:sz="6" w:space="0" w:color="C9DBD3"/>
            </w:tcBorders>
          </w:tcPr>
          <w:p>
            <w:r>
              <w:rPr>
                <w:b/>
                <w:i w:val="0"/>
                <w:color w:val="0C2317"/>
                <w:sz w:val="16"/>
              </w:rPr>
              <w:t>Finalité</w:t>
            </w:r>
          </w:p>
        </w:tc>
        <w:tc>
          <w:tcPr>
            <w:tcW w:type="dxa" w:w="2289"/>
            <w:shd w:val="clear" w:color="auto" w:fill="F2FBF7"/>
            <w:tcBorders>
              <w:bottom w:val="single" w:sz="6" w:space="0" w:color="C9DBD3"/>
            </w:tcBorders>
          </w:tcPr>
          <w:p>
            <w:r>
              <w:rPr>
                <w:b/>
                <w:i w:val="0"/>
                <w:color w:val="0C2317"/>
                <w:sz w:val="16"/>
              </w:rPr>
              <w:t>Catégories de données</w:t>
            </w:r>
          </w:p>
        </w:tc>
        <w:tc>
          <w:tcPr>
            <w:tcW w:type="dxa" w:w="1653"/>
            <w:shd w:val="clear" w:color="auto" w:fill="F2FBF7"/>
            <w:tcBorders>
              <w:bottom w:val="single" w:sz="6" w:space="0" w:color="C9DBD3"/>
            </w:tcBorders>
          </w:tcPr>
          <w:p>
            <w:r>
              <w:rPr>
                <w:b/>
                <w:i w:val="0"/>
                <w:color w:val="0C2317"/>
                <w:sz w:val="16"/>
              </w:rPr>
              <w:t>Conservation</w:t>
            </w:r>
          </w:p>
        </w:tc>
      </w:tr>
      <w:tr>
        <w:tc>
          <w:tcPr>
            <w:tcW w:type="dxa" w:w="890"/>
            <w:tcBorders>
              <w:bottom w:val="single" w:sz="4" w:space="0" w:color="DFE7E3"/>
            </w:tcBorders>
          </w:tcPr>
          <w:p>
            <w:r>
              <w:rPr>
                <w:b w:val="0"/>
                <w:i w:val="0"/>
                <w:color w:val="33403B"/>
                <w:sz w:val="18"/>
              </w:rPr>
              <w:t>RGPD-01</w:t>
            </w:r>
          </w:p>
        </w:tc>
        <w:tc>
          <w:tcPr>
            <w:tcW w:type="dxa" w:w="2035"/>
            <w:tcBorders>
              <w:bottom w:val="single" w:sz="4" w:space="0" w:color="DFE7E3"/>
            </w:tcBorders>
          </w:tcPr>
          <w:p>
            <w:r>
              <w:rPr>
                <w:b w:val="0"/>
                <w:i w:val="0"/>
                <w:color w:val="33403B"/>
                <w:sz w:val="18"/>
              </w:rPr>
              <w:t>Gestion des comptes et opérations</w:t>
            </w:r>
          </w:p>
        </w:tc>
        <w:tc>
          <w:tcPr>
            <w:tcW w:type="dxa" w:w="2544"/>
            <w:tcBorders>
              <w:bottom w:val="single" w:sz="4" w:space="0" w:color="DFE7E3"/>
            </w:tcBorders>
          </w:tcPr>
          <w:p>
            <w:r>
              <w:rPr>
                <w:b w:val="0"/>
                <w:i w:val="0"/>
                <w:color w:val="33403B"/>
                <w:sz w:val="18"/>
              </w:rPr>
              <w:t>Exécution du contrat de services bancaires.</w:t>
            </w:r>
          </w:p>
        </w:tc>
        <w:tc>
          <w:tcPr>
            <w:tcW w:type="dxa" w:w="2289"/>
            <w:tcBorders>
              <w:bottom w:val="single" w:sz="4" w:space="0" w:color="DFE7E3"/>
            </w:tcBorders>
          </w:tcPr>
          <w:p>
            <w:r>
              <w:rPr>
                <w:b w:val="0"/>
                <w:i w:val="0"/>
                <w:color w:val="33403B"/>
                <w:sz w:val="18"/>
              </w:rPr>
              <w:t>Identité, coordonnées, données financières, historiques d'opérations</w:t>
            </w:r>
          </w:p>
        </w:tc>
        <w:tc>
          <w:tcPr>
            <w:tcW w:type="dxa" w:w="1653"/>
            <w:tcBorders>
              <w:bottom w:val="single" w:sz="4" w:space="0" w:color="DFE7E3"/>
            </w:tcBorders>
          </w:tcPr>
          <w:p>
            <w:r>
              <w:rPr>
                <w:b w:val="0"/>
                <w:i w:val="0"/>
                <w:color w:val="33403B"/>
                <w:sz w:val="18"/>
              </w:rPr>
              <w:t>Durée de la relation + 5 ans (Code monétaire et financier)</w:t>
            </w:r>
          </w:p>
        </w:tc>
      </w:tr>
      <w:tr>
        <w:tc>
          <w:tcPr>
            <w:tcW w:type="dxa" w:w="890"/>
            <w:tcBorders>
              <w:bottom w:val="single" w:sz="4" w:space="0" w:color="DFE7E3"/>
            </w:tcBorders>
          </w:tcPr>
          <w:p>
            <w:r>
              <w:rPr>
                <w:b w:val="0"/>
                <w:i w:val="0"/>
                <w:color w:val="33403B"/>
                <w:sz w:val="18"/>
              </w:rPr>
              <w:t>RGPD-02</w:t>
            </w:r>
          </w:p>
        </w:tc>
        <w:tc>
          <w:tcPr>
            <w:tcW w:type="dxa" w:w="2035"/>
            <w:tcBorders>
              <w:bottom w:val="single" w:sz="4" w:space="0" w:color="DFE7E3"/>
            </w:tcBorders>
          </w:tcPr>
          <w:p>
            <w:r>
              <w:rPr>
                <w:b w:val="0"/>
                <w:i w:val="0"/>
                <w:color w:val="33403B"/>
                <w:sz w:val="18"/>
              </w:rPr>
              <w:t>Lutte contre le blanchiment (LCB-FT)</w:t>
            </w:r>
          </w:p>
        </w:tc>
        <w:tc>
          <w:tcPr>
            <w:tcW w:type="dxa" w:w="2544"/>
            <w:tcBorders>
              <w:bottom w:val="single" w:sz="4" w:space="0" w:color="DFE7E3"/>
            </w:tcBorders>
          </w:tcPr>
          <w:p>
            <w:r>
              <w:rPr>
                <w:b w:val="0"/>
                <w:i w:val="0"/>
                <w:color w:val="33403B"/>
                <w:sz w:val="18"/>
              </w:rPr>
              <w:t>Obligation légale de vigilance et de déclaration TRACFIN.</w:t>
            </w:r>
          </w:p>
        </w:tc>
        <w:tc>
          <w:tcPr>
            <w:tcW w:type="dxa" w:w="2289"/>
            <w:tcBorders>
              <w:bottom w:val="single" w:sz="4" w:space="0" w:color="DFE7E3"/>
            </w:tcBorders>
          </w:tcPr>
          <w:p>
            <w:r>
              <w:rPr>
                <w:b w:val="0"/>
                <w:i w:val="0"/>
                <w:color w:val="33403B"/>
                <w:sz w:val="18"/>
              </w:rPr>
              <w:t>Identité, origine des fonds, alertes de profilage</w:t>
            </w:r>
          </w:p>
        </w:tc>
        <w:tc>
          <w:tcPr>
            <w:tcW w:type="dxa" w:w="1653"/>
            <w:tcBorders>
              <w:bottom w:val="single" w:sz="4" w:space="0" w:color="DFE7E3"/>
            </w:tcBorders>
          </w:tcPr>
          <w:p>
            <w:r>
              <w:rPr>
                <w:b w:val="0"/>
                <w:i w:val="0"/>
                <w:color w:val="33403B"/>
                <w:sz w:val="18"/>
              </w:rPr>
              <w:t>5 ans après la fin de la relation d'affaires</w:t>
            </w:r>
          </w:p>
        </w:tc>
      </w:tr>
      <w:tr>
        <w:tc>
          <w:tcPr>
            <w:tcW w:type="dxa" w:w="890"/>
            <w:tcBorders>
              <w:bottom w:val="single" w:sz="4" w:space="0" w:color="DFE7E3"/>
            </w:tcBorders>
          </w:tcPr>
          <w:p>
            <w:r>
              <w:rPr>
                <w:b w:val="0"/>
                <w:i w:val="0"/>
                <w:color w:val="33403B"/>
                <w:sz w:val="18"/>
              </w:rPr>
              <w:t>RGPD-03</w:t>
            </w:r>
          </w:p>
        </w:tc>
        <w:tc>
          <w:tcPr>
            <w:tcW w:type="dxa" w:w="2035"/>
            <w:tcBorders>
              <w:bottom w:val="single" w:sz="4" w:space="0" w:color="DFE7E3"/>
            </w:tcBorders>
          </w:tcPr>
          <w:p>
            <w:r>
              <w:rPr>
                <w:b w:val="0"/>
                <w:i w:val="0"/>
                <w:color w:val="33403B"/>
                <w:sz w:val="18"/>
              </w:rPr>
              <w:t>Scoring d'octroi de crédit</w:t>
            </w:r>
          </w:p>
        </w:tc>
        <w:tc>
          <w:tcPr>
            <w:tcW w:type="dxa" w:w="2544"/>
            <w:tcBorders>
              <w:bottom w:val="single" w:sz="4" w:space="0" w:color="DFE7E3"/>
            </w:tcBorders>
          </w:tcPr>
          <w:p>
            <w:r>
              <w:rPr>
                <w:b w:val="0"/>
                <w:i w:val="0"/>
                <w:color w:val="33403B"/>
                <w:sz w:val="18"/>
              </w:rPr>
              <w:t>Évaluation de la solvabilité — décision partiellement automatisée.</w:t>
            </w:r>
          </w:p>
        </w:tc>
        <w:tc>
          <w:tcPr>
            <w:tcW w:type="dxa" w:w="2289"/>
            <w:tcBorders>
              <w:bottom w:val="single" w:sz="4" w:space="0" w:color="DFE7E3"/>
            </w:tcBorders>
          </w:tcPr>
          <w:p>
            <w:r>
              <w:rPr>
                <w:b w:val="0"/>
                <w:i w:val="0"/>
                <w:color w:val="33403B"/>
                <w:sz w:val="18"/>
              </w:rPr>
              <w:t>Revenus, charges, historique d'incidents, score calculé</w:t>
            </w:r>
          </w:p>
        </w:tc>
        <w:tc>
          <w:tcPr>
            <w:tcW w:type="dxa" w:w="1653"/>
            <w:tcBorders>
              <w:bottom w:val="single" w:sz="4" w:space="0" w:color="DFE7E3"/>
            </w:tcBorders>
          </w:tcPr>
          <w:p>
            <w:r>
              <w:rPr>
                <w:b w:val="0"/>
                <w:i w:val="0"/>
                <w:color w:val="33403B"/>
                <w:sz w:val="18"/>
              </w:rPr>
              <w:t>Durée du crédit + 5 ans</w:t>
            </w:r>
          </w:p>
        </w:tc>
      </w:tr>
    </w:tbl>
    <w:p/>
    <w:p>
      <w:pPr>
        <w:spacing w:before="200" w:after="40"/>
      </w:pPr>
      <w:r>
        <w:rPr>
          <w:b/>
          <w:i w:val="0"/>
          <w:color w:val="0C2317"/>
          <w:sz w:val="21"/>
        </w:rPr>
        <w:t>1.bis Registre des violations de données (Art. 33-34)</w:t>
      </w:r>
    </w:p>
    <w:p>
      <w:r>
        <w:rPr>
          <w:b w:val="0"/>
          <w:i/>
          <w:color w:val="6B7F78"/>
          <w:sz w:val="18"/>
        </w:rPr>
        <w:t>Aucune violation de données n'a été constatée sur cette mission.</w:t>
      </w:r>
    </w:p>
    <w:p>
      <w:pPr>
        <w:spacing w:before="400" w:after="160"/>
        <w:pBdr>
          <w:bottom w:val="single" w:sz="16" w:space="4" w:color="2EE6A0"/>
        </w:pBdr>
      </w:pPr>
      <w:r>
        <w:rPr>
          <w:b/>
          <w:i w:val="0"/>
          <w:color w:val="2EE6A0"/>
          <w:sz w:val="28"/>
        </w:rPr>
        <w:t xml:space="preserve">2. </w:t>
      </w:r>
      <w:r>
        <w:rPr>
          <w:b/>
          <w:i w:val="0"/>
          <w:color w:val="0C2317"/>
          <w:sz w:val="28"/>
        </w:rPr>
        <w:t>Analyse d'impact systématique (PIA)</w:t>
      </w:r>
    </w:p>
    <w:p>
      <w:pPr>
        <w:spacing w:before="200" w:after="40"/>
      </w:pPr>
      <w:r>
        <w:rPr>
          <w:b/>
          <w:i w:val="0"/>
          <w:color w:val="0C2317"/>
          <w:sz w:val="21"/>
        </w:rPr>
        <w:t>2.1 Description systématique du traitement</w:t>
      </w:r>
    </w:p>
    <w:p>
      <w:pPr>
        <w:spacing w:after="120"/>
      </w:pPr>
      <w:r>
        <w:rPr>
          <w:b w:val="0"/>
          <w:i w:val="0"/>
          <w:color w:val="33403B"/>
          <w:sz w:val="20"/>
        </w:rPr>
        <w:t>Scoring automatisé d'octroi de crédit appliqué à l'ensemble des demandes particuliers, combinant données déclaratives, historique interne et fichiers d'incidents Banque de France. Une décision de refus peut être prononcée sans intervention humaine en deçà d'un seuil de score, avec réexamen humain sur réclamation.</w:t>
      </w:r>
    </w:p>
    <w:p>
      <w:pPr>
        <w:spacing w:before="200" w:after="40"/>
      </w:pPr>
      <w:r>
        <w:rPr>
          <w:b/>
          <w:i w:val="0"/>
          <w:color w:val="0C2317"/>
          <w:sz w:val="21"/>
        </w:rPr>
        <w:t>2.2 Évaluation de la nécessité et de la proportionnalité</w:t>
      </w:r>
    </w:p>
    <w:p>
      <w:pPr>
        <w:spacing w:after="120"/>
      </w:pPr>
      <w:r>
        <w:rPr>
          <w:b w:val="0"/>
          <w:i w:val="0"/>
          <w:color w:val="33403B"/>
          <w:sz w:val="20"/>
        </w:rPr>
        <w:t>L'évaluation de solvabilité est une obligation prudentielle. L'automatisation est proportionnée au volume (2 800 demandes/mois), mais le refus automatique sans intervention humaine relève de l'Art. 22 RGPD : un droit d'obtenir une intervention humaine a été mis en place, et les variables du modèle ont été réduites de 47 à 31 après revue de pertinence.</w:t>
      </w:r>
    </w:p>
    <w:p>
      <w:pPr>
        <w:spacing w:before="200" w:after="40"/>
      </w:pPr>
      <w:r>
        <w:rPr>
          <w:b/>
          <w:i w:val="0"/>
          <w:color w:val="0C2317"/>
          <w:sz w:val="21"/>
        </w:rPr>
        <w:t>2.3 Évaluation des risques sur les droits et libertés des personnes</w:t>
      </w:r>
    </w:p>
    <w:p>
      <w:pPr>
        <w:spacing w:after="120"/>
      </w:pPr>
      <w:r>
        <w:rPr>
          <w:b w:val="0"/>
          <w:i w:val="0"/>
          <w:color w:val="33403B"/>
          <w:sz w:val="20"/>
        </w:rPr>
        <w:t>Risque principal : discrimination indirecte par des variables corrélées à l'origine géographique (code postal). Gravité Élevée (effet juridique et économique durable sur la personne), vraisemblance Moyenne. Risque secondaire : opacité de la décision, la personne ne pouvant contester ce qu'elle ne comprend pas.</w:t>
      </w:r>
    </w:p>
    <w:p>
      <w:pPr>
        <w:spacing w:before="200" w:after="40"/>
      </w:pPr>
      <w:r>
        <w:rPr>
          <w:b/>
          <w:i w:val="0"/>
          <w:color w:val="0C2317"/>
          <w:sz w:val="21"/>
        </w:rPr>
        <w:t>2.4 Mesures de traitement et de sécurité envisagées (atténuation)</w:t>
      </w:r>
    </w:p>
    <w:p>
      <w:pPr>
        <w:spacing w:after="120"/>
      </w:pPr>
      <w:r>
        <w:rPr>
          <w:b w:val="0"/>
          <w:i w:val="0"/>
          <w:color w:val="33403B"/>
          <w:sz w:val="20"/>
        </w:rPr>
        <w:t>Retrait de la variable code postal et des 4 variables les plus corrélées, test de disparité annuel sur cohortes, motivation systématique du refus en langage clair, droit à l'intervention humaine sous 15 jours, journalisation des décisions pendant 5 ans.</w:t>
      </w:r>
    </w:p>
    <w:p>
      <w:pPr>
        <w:spacing w:before="400" w:after="160"/>
        <w:pBdr>
          <w:bottom w:val="single" w:sz="16" w:space="4" w:color="2EE6A0"/>
        </w:pBdr>
      </w:pPr>
      <w:r>
        <w:rPr>
          <w:b/>
          <w:i w:val="0"/>
          <w:color w:val="2EE6A0"/>
          <w:sz w:val="28"/>
        </w:rPr>
        <w:t xml:space="preserve">3. </w:t>
      </w:r>
      <w:r>
        <w:rPr>
          <w:b/>
          <w:i w:val="0"/>
          <w:color w:val="0C2317"/>
          <w:sz w:val="28"/>
        </w:rPr>
        <w:t>Obligations organisationnelles (conduite de l'AIPD)</w:t>
      </w:r>
    </w:p>
    <w:tbl>
      <w:tblPr>
        <w:tblW w:type="auto" w:w="0"/>
        <w:jc w:val="left"/>
        <w:tblLayout w:type="fixed"/>
        <w:tblLook w:firstColumn="1" w:firstRow="1" w:lastColumn="0" w:lastRow="0" w:noHBand="0" w:noVBand="1" w:val="04A0"/>
      </w:tblPr>
      <w:tblGrid>
        <w:gridCol w:w="3036"/>
        <w:gridCol w:w="1822"/>
        <w:gridCol w:w="1518"/>
        <w:gridCol w:w="3036"/>
      </w:tblGrid>
      <w:tr>
        <w:tc>
          <w:tcPr>
            <w:tcW w:type="dxa" w:w="3036"/>
            <w:shd w:val="clear" w:color="auto" w:fill="F2FBF7"/>
            <w:tcBorders>
              <w:bottom w:val="single" w:sz="6" w:space="0" w:color="C9DBD3"/>
            </w:tcBorders>
          </w:tcPr>
          <w:p>
            <w:r>
              <w:rPr>
                <w:b/>
                <w:i w:val="0"/>
                <w:color w:val="0C2317"/>
                <w:sz w:val="16"/>
              </w:rPr>
              <w:t>Obligation</w:t>
            </w:r>
          </w:p>
        </w:tc>
        <w:tc>
          <w:tcPr>
            <w:tcW w:type="dxa" w:w="1822"/>
            <w:shd w:val="clear" w:color="auto" w:fill="F2FBF7"/>
            <w:tcBorders>
              <w:bottom w:val="single" w:sz="6" w:space="0" w:color="C9DBD3"/>
            </w:tcBorders>
          </w:tcPr>
          <w:p>
            <w:r>
              <w:rPr>
                <w:b/>
                <w:i w:val="0"/>
                <w:color w:val="0C2317"/>
                <w:sz w:val="16"/>
              </w:rPr>
              <w:t>Référence</w:t>
            </w:r>
          </w:p>
        </w:tc>
        <w:tc>
          <w:tcPr>
            <w:tcW w:type="dxa" w:w="1518"/>
            <w:shd w:val="clear" w:color="auto" w:fill="F2FBF7"/>
            <w:tcBorders>
              <w:bottom w:val="single" w:sz="6" w:space="0" w:color="C9DBD3"/>
            </w:tcBorders>
          </w:tcPr>
          <w:p>
            <w:r>
              <w:rPr>
                <w:b/>
                <w:i w:val="0"/>
                <w:color w:val="0C2317"/>
                <w:sz w:val="16"/>
              </w:rPr>
              <w:t>État</w:t>
            </w:r>
          </w:p>
        </w:tc>
        <w:tc>
          <w:tcPr>
            <w:tcW w:type="dxa" w:w="3036"/>
            <w:shd w:val="clear" w:color="auto" w:fill="F2FBF7"/>
            <w:tcBorders>
              <w:bottom w:val="single" w:sz="6" w:space="0" w:color="C9DBD3"/>
            </w:tcBorders>
          </w:tcPr>
          <w:p>
            <w:r>
              <w:rPr>
                <w:b/>
                <w:i w:val="0"/>
                <w:color w:val="0C2317"/>
                <w:sz w:val="16"/>
              </w:rPr>
              <w:t>Commentaire</w:t>
            </w:r>
          </w:p>
        </w:tc>
      </w:tr>
      <w:tr>
        <w:tc>
          <w:tcPr>
            <w:tcW w:type="dxa" w:w="3036"/>
            <w:tcBorders>
              <w:bottom w:val="single" w:sz="4" w:space="0" w:color="DFE7E3"/>
            </w:tcBorders>
          </w:tcPr>
          <w:p>
            <w:r>
              <w:rPr>
                <w:b w:val="0"/>
                <w:i w:val="0"/>
                <w:color w:val="33403B"/>
                <w:sz w:val="18"/>
              </w:rPr>
              <w:t>Avis du délégué à la protection des données recueilli</w:t>
            </w:r>
          </w:p>
        </w:tc>
        <w:tc>
          <w:tcPr>
            <w:tcW w:type="dxa" w:w="1822"/>
            <w:tcBorders>
              <w:bottom w:val="single" w:sz="4" w:space="0" w:color="DFE7E3"/>
            </w:tcBorders>
          </w:tcPr>
          <w:p>
            <w:r>
              <w:rPr>
                <w:b w:val="0"/>
                <w:i w:val="0"/>
                <w:color w:val="33403B"/>
                <w:sz w:val="18"/>
              </w:rPr>
              <w:t>RGPD Art. 35 §2</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DPO interne — avis réservé du 22/06/2026 : maintient une alerte sur le risque de discrimination indirecte résiduelle.</w:t>
            </w:r>
          </w:p>
        </w:tc>
      </w:tr>
      <w:tr>
        <w:tc>
          <w:tcPr>
            <w:tcW w:type="dxa" w:w="3036"/>
            <w:tcBorders>
              <w:bottom w:val="single" w:sz="4" w:space="0" w:color="DFE7E3"/>
            </w:tcBorders>
          </w:tcPr>
          <w:p>
            <w:r>
              <w:rPr>
                <w:b w:val="0"/>
                <w:i w:val="0"/>
                <w:color w:val="33403B"/>
                <w:sz w:val="18"/>
              </w:rPr>
              <w:t>Avis des personnes concernées recueilli (ou motif de non-consultation)</w:t>
            </w:r>
          </w:p>
        </w:tc>
        <w:tc>
          <w:tcPr>
            <w:tcW w:type="dxa" w:w="1822"/>
            <w:tcBorders>
              <w:bottom w:val="single" w:sz="4" w:space="0" w:color="DFE7E3"/>
            </w:tcBorders>
          </w:tcPr>
          <w:p>
            <w:r>
              <w:rPr>
                <w:b w:val="0"/>
                <w:i w:val="0"/>
                <w:color w:val="33403B"/>
                <w:sz w:val="18"/>
              </w:rPr>
              <w:t>RGPD Art. 35 §9</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Panel de 12 clients consulté en juin 2026 ; incompréhension majoritaire des motifs de refus, à l'origine de la mesure de motivation en langage clair.</w:t>
            </w:r>
          </w:p>
        </w:tc>
      </w:tr>
      <w:tr>
        <w:tc>
          <w:tcPr>
            <w:tcW w:type="dxa" w:w="3036"/>
            <w:tcBorders>
              <w:bottom w:val="single" w:sz="4" w:space="0" w:color="DFE7E3"/>
            </w:tcBorders>
          </w:tcPr>
          <w:p>
            <w:r>
              <w:rPr>
                <w:b w:val="0"/>
                <w:i w:val="0"/>
                <w:color w:val="33403B"/>
                <w:sz w:val="18"/>
              </w:rPr>
              <w:t>Confrontation aux listes CNIL des traitements soumis / exemptés</w:t>
            </w:r>
          </w:p>
        </w:tc>
        <w:tc>
          <w:tcPr>
            <w:tcW w:type="dxa" w:w="1822"/>
            <w:tcBorders>
              <w:bottom w:val="single" w:sz="4" w:space="0" w:color="DFE7E3"/>
            </w:tcBorders>
          </w:tcPr>
          <w:p>
            <w:r>
              <w:rPr>
                <w:b w:val="0"/>
                <w:i w:val="0"/>
                <w:color w:val="33403B"/>
                <w:sz w:val="18"/>
              </w:rPr>
              <w:t>RGPD Art. 35 §4-5</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Traitement figurant sur la liste CNIL (décision automatisée avec effet juridique) — AIPD obligatoire.</w:t>
            </w:r>
          </w:p>
        </w:tc>
      </w:tr>
      <w:tr>
        <w:tc>
          <w:tcPr>
            <w:tcW w:type="dxa" w:w="3036"/>
            <w:tcBorders>
              <w:bottom w:val="single" w:sz="4" w:space="0" w:color="DFE7E3"/>
            </w:tcBorders>
          </w:tcPr>
          <w:p>
            <w:r>
              <w:rPr>
                <w:b w:val="0"/>
                <w:i w:val="0"/>
                <w:color w:val="33403B"/>
                <w:sz w:val="18"/>
              </w:rPr>
              <w:t>Réexamen prévu à chaque évolution du niveau de risque</w:t>
            </w:r>
          </w:p>
        </w:tc>
        <w:tc>
          <w:tcPr>
            <w:tcW w:type="dxa" w:w="1822"/>
            <w:tcBorders>
              <w:bottom w:val="single" w:sz="4" w:space="0" w:color="DFE7E3"/>
            </w:tcBorders>
          </w:tcPr>
          <w:p>
            <w:r>
              <w:rPr>
                <w:b w:val="0"/>
                <w:i w:val="0"/>
                <w:color w:val="33403B"/>
                <w:sz w:val="18"/>
              </w:rPr>
              <w:t>RGPD Art. 35 §11</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Réexamen à chaque réentraînement du modèle et au minimum annuellement.</w:t>
            </w:r>
          </w:p>
        </w:tc>
      </w:tr>
      <w:tr>
        <w:tc>
          <w:tcPr>
            <w:tcW w:type="dxa" w:w="3036"/>
            <w:tcBorders>
              <w:bottom w:val="single" w:sz="4" w:space="0" w:color="DFE7E3"/>
            </w:tcBorders>
          </w:tcPr>
          <w:p>
            <w:r>
              <w:rPr>
                <w:b w:val="0"/>
                <w:i w:val="0"/>
                <w:color w:val="33403B"/>
                <w:sz w:val="18"/>
              </w:rPr>
              <w:t>Consultation préalable de la CNIL avant mise en œuvre</w:t>
            </w:r>
          </w:p>
        </w:tc>
        <w:tc>
          <w:tcPr>
            <w:tcW w:type="dxa" w:w="1822"/>
            <w:tcBorders>
              <w:bottom w:val="single" w:sz="4" w:space="0" w:color="DFE7E3"/>
            </w:tcBorders>
          </w:tcPr>
          <w:p>
            <w:r>
              <w:rPr>
                <w:b w:val="0"/>
                <w:i w:val="0"/>
                <w:color w:val="33403B"/>
                <w:sz w:val="18"/>
              </w:rPr>
              <w:t>RGPD Art. 36 §1</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Consultation préalable CNIL déposée le 08/07/2026 (accusé AR-2026-4471), réponse attendue sous 8 semaines. Mise en production suspendue dans l'intervalle.</w:t>
            </w:r>
          </w:p>
        </w:tc>
      </w:tr>
    </w:tbl>
    <w:p/>
    <w:p>
      <w:pPr>
        <w:spacing w:before="400" w:after="160"/>
        <w:pBdr>
          <w:bottom w:val="single" w:sz="16" w:space="4" w:color="2EE6A0"/>
        </w:pBdr>
      </w:pPr>
      <w:r>
        <w:rPr>
          <w:b/>
          <w:i w:val="0"/>
          <w:color w:val="0C2317"/>
          <w:sz w:val="26"/>
        </w:rPr>
        <w:t>Signature de validation conformité CNIL</w:t>
      </w:r>
    </w:p>
    <w:tbl>
      <w:tblPr>
        <w:tblW w:type="auto" w:w="0"/>
        <w:jc w:val="left"/>
        <w:tblLayout w:type="fixed"/>
        <w:tblLook w:firstColumn="1" w:firstRow="1" w:lastColumn="0" w:lastRow="0" w:noHBand="0" w:noVBand="1" w:val="04A0"/>
      </w:tblPr>
      <w:tblGrid>
        <w:gridCol w:w="4706"/>
        <w:gridCol w:w="4706"/>
      </w:tblGrid>
      <w:tr>
        <w:tc>
          <w:tcPr>
            <w:tcW w:type="dxa" w:w="4706"/>
            <w:shd w:val="clear" w:color="auto" w:fill="F2FBF7"/>
            <w:tcBorders>
              <w:bottom w:val="single" w:sz="6" w:space="0" w:color="C9DBD3"/>
            </w:tcBorders>
          </w:tcPr>
          <w:p>
            <w:r>
              <w:rPr>
                <w:b/>
                <w:i w:val="0"/>
                <w:color w:val="0C2317"/>
                <w:sz w:val="16"/>
              </w:rPr>
              <w:t>Avis du Délégué à la Protection des Données (DPO)</w:t>
            </w:r>
          </w:p>
        </w:tc>
        <w:tc>
          <w:tcPr>
            <w:tcW w:type="dxa" w:w="4706"/>
            <w:shd w:val="clear" w:color="auto" w:fill="F2FBF7"/>
            <w:tcBorders>
              <w:bottom w:val="single" w:sz="6" w:space="0" w:color="C9DBD3"/>
            </w:tcBorders>
          </w:tcPr>
          <w:p>
            <w:r>
              <w:rPr>
                <w:b/>
                <w:i w:val="0"/>
                <w:color w:val="0C2317"/>
                <w:sz w:val="16"/>
              </w:rPr>
              <w:t>Validation du Responsable du Traitement</w:t>
            </w:r>
          </w:p>
        </w:tc>
      </w:tr>
      <w:tr>
        <w:tc>
          <w:tcPr>
            <w:tcW w:type="dxa" w:w="4706"/>
            <w:tcBorders>
              <w:bottom w:val="single" w:sz="4" w:space="0" w:color="DFE7E3"/>
            </w:tcBorders>
          </w:tcPr>
          <w:p>
            <w:r>
              <w:rPr>
                <w:b w:val="0"/>
                <w:i w:val="0"/>
                <w:color w:val="33403B"/>
                <w:sz w:val="18"/>
              </w:rPr>
              <w:t>Avis favorable / non favorable</w:t>
            </w:r>
          </w:p>
        </w:tc>
        <w:tc>
          <w:tcPr>
            <w:tcW w:type="dxa" w:w="4706"/>
            <w:tcBorders>
              <w:bottom w:val="single" w:sz="4" w:space="0" w:color="DFE7E3"/>
            </w:tcBorders>
          </w:tcPr>
          <w:p>
            <w:r>
              <w:rPr>
                <w:b w:val="0"/>
                <w:i w:val="0"/>
                <w:color w:val="33403B"/>
                <w:sz w:val="18"/>
              </w:rPr>
              <w:t>Validé pour mise en œuvre</w:t>
            </w:r>
          </w:p>
        </w:tc>
      </w:tr>
      <w:tr>
        <w:tc>
          <w:tcPr>
            <w:tcW w:type="dxa" w:w="4706"/>
            <w:tcBorders>
              <w:bottom w:val="single" w:sz="4" w:space="0" w:color="DFE7E3"/>
            </w:tcBorders>
          </w:tcPr>
          <w:p>
            <w:r>
              <w:rPr>
                <w:b w:val="0"/>
                <w:i w:val="0"/>
                <w:color w:val="33403B"/>
                <w:sz w:val="18"/>
              </w:rPr>
              <w:t>Signature :</w:t>
            </w:r>
          </w:p>
        </w:tc>
        <w:tc>
          <w:tcPr>
            <w:tcW w:type="dxa" w:w="4706"/>
            <w:tcBorders>
              <w:bottom w:val="single" w:sz="4" w:space="0" w:color="DFE7E3"/>
            </w:tcBorders>
          </w:tcPr>
          <w:p>
            <w:r>
              <w:rPr>
                <w:b w:val="0"/>
                <w:i w:val="0"/>
                <w:color w:val="33403B"/>
                <w:sz w:val="18"/>
              </w:rPr>
              <w:t>Signature :</w:t>
            </w:r>
          </w:p>
        </w:tc>
      </w:tr>
    </w:tbl>
    <w:p/>
    <w:sectPr w:rsidR="00FC693F" w:rsidRPr="0006063C" w:rsidSect="00034616">
      <w:footerReference w:type="default" r:id="rId10"/>
      <w:pgSz w:w="11906" w:h="16838"/>
      <w:pgMar w:top="90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33403B"/>
        <w:sz w:val="14"/>
      </w:rPr>
      <w:t>GREEN SHIELD — Cabinet non renseigné · Document confidentiel, ne pas diffuser sans autorisation écrite.</w:t>
    </w:r>
  </w:p>
  <w:p>
    <w:pPr>
      <w:jc w:val="center"/>
    </w:pPr>
    <w:r>
      <w:rPr>
        <w:b w:val="0"/>
        <w:i w:val="0"/>
        <w:color w:val="33403B"/>
        <w:sz w:val="13"/>
      </w:rPr>
      <w:t>Empreinte SHA-256 de l'état de la mission à l'édition : 870d095ccce86180b4371c414e51921b436ce7160191eb6b8b033d69f8406603</w:t>
    </w:r>
  </w:p>
  <w:p>
    <w:pPr>
      <w:jc w:val="center"/>
    </w:pPr>
    <w:r>
      <w:rPr>
        <w:b w:val="0"/>
        <w:i/>
        <w:color w:val="33403B"/>
        <w:sz w:val="13"/>
      </w:rPr>
      <w:t>Toute modification ultérieure de la mission, même rétablie, produit une empreinte différente.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0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