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rapport-danalyse-phase-i"/>
    <w:p>
      <w:pPr>
        <w:pStyle w:val="Heading1"/>
      </w:pPr>
      <w:r>
        <w:t xml:space="preserve">RAPPORT D’ANALYSE — PHASE I</w:t>
      </w:r>
    </w:p>
    <w:bookmarkStart w:id="10" w:name="X50fad3be550a9a16fe9c4613010c7ebcb966eaa"/>
    <w:p>
      <w:pPr>
        <w:pStyle w:val="Heading2"/>
      </w:pPr>
      <w:r>
        <w:t xml:space="preserve">Mission de modernisation de l’infrastructure IT</w:t>
      </w:r>
    </w:p>
    <w:bookmarkStart w:id="9" w:name="client-nova-syndicate"/>
    <w:p>
      <w:pPr>
        <w:pStyle w:val="Heading3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NS-2026-001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Livrable Phase I — Analyse des besoins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 client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X6e94af97dc4b2d1c8d403c82c34b4ca1cfb77cd">
        <w:r>
          <w:rPr>
            <w:rStyle w:val="Hyperlink"/>
          </w:rPr>
          <w:t xml:space="preserve">Synthèse exécutive</w:t>
        </w:r>
      </w:hyperlink>
    </w:p>
    <w:p>
      <w:pPr>
        <w:pStyle w:val="Compact"/>
        <w:numPr>
          <w:ilvl w:val="0"/>
          <w:numId w:val="1001"/>
        </w:numPr>
      </w:pPr>
      <w:hyperlink w:anchor="Xb3a277cb5725a80ff080c3f3985aeb3e73e4a73">
        <w:r>
          <w:rPr>
            <w:rStyle w:val="Hyperlink"/>
          </w:rPr>
          <w:t xml:space="preserve">Contexte de la mission</w:t>
        </w:r>
      </w:hyperlink>
    </w:p>
    <w:p>
      <w:pPr>
        <w:pStyle w:val="Compact"/>
        <w:numPr>
          <w:ilvl w:val="0"/>
          <w:numId w:val="1001"/>
        </w:numPr>
      </w:pPr>
      <w:hyperlink w:anchor="X46a07e8b901f36f168bae913c2b2ac95f08abd2">
        <w:r>
          <w:rPr>
            <w:rStyle w:val="Hyperlink"/>
          </w:rPr>
          <w:t xml:space="preserve">Présentation du client Nova Syndicate</w:t>
        </w:r>
      </w:hyperlink>
    </w:p>
    <w:p>
      <w:pPr>
        <w:pStyle w:val="Compact"/>
        <w:numPr>
          <w:ilvl w:val="0"/>
          <w:numId w:val="1001"/>
        </w:numPr>
      </w:pPr>
      <w:hyperlink w:anchor="X1108a8b9756a62f4525fc4b86089a76f3e279b1">
        <w:r>
          <w:rPr>
            <w:rStyle w:val="Hyperlink"/>
          </w:rPr>
          <w:t xml:space="preserve">Cadre méthodologique</w:t>
        </w:r>
      </w:hyperlink>
    </w:p>
    <w:p>
      <w:pPr>
        <w:pStyle w:val="Compact"/>
        <w:numPr>
          <w:ilvl w:val="0"/>
          <w:numId w:val="1001"/>
        </w:numPr>
      </w:pPr>
      <w:hyperlink w:anchor="X727dd6ec761d608ce277137ecaf714af81c321a">
        <w:r>
          <w:rPr>
            <w:rStyle w:val="Hyperlink"/>
          </w:rPr>
          <w:t xml:space="preserve">Analyse des besoins</w:t>
        </w:r>
      </w:hyperlink>
    </w:p>
    <w:p>
      <w:pPr>
        <w:pStyle w:val="Compact"/>
        <w:numPr>
          <w:ilvl w:val="0"/>
          <w:numId w:val="1001"/>
        </w:numPr>
      </w:pPr>
      <w:hyperlink w:anchor="X4676ada2c511801acbf772995d8c83e4d6915ba">
        <w:r>
          <w:rPr>
            <w:rStyle w:val="Hyperlink"/>
          </w:rPr>
          <w:t xml:space="preserve">Identification des contraintes</w:t>
        </w:r>
      </w:hyperlink>
    </w:p>
    <w:p>
      <w:pPr>
        <w:pStyle w:val="Compact"/>
        <w:numPr>
          <w:ilvl w:val="0"/>
          <w:numId w:val="1001"/>
        </w:numPr>
      </w:pPr>
      <w:hyperlink w:anchor="Xc90a08f33ea1421d3cdc48d5ff36a9385c51aae">
        <w:r>
          <w:rPr>
            <w:rStyle w:val="Hyperlink"/>
          </w:rPr>
          <w:t xml:space="preserve">Priorisation des objectifs</w:t>
        </w:r>
      </w:hyperlink>
    </w:p>
    <w:p>
      <w:pPr>
        <w:pStyle w:val="Compact"/>
        <w:numPr>
          <w:ilvl w:val="0"/>
          <w:numId w:val="1001"/>
        </w:numPr>
      </w:pPr>
      <w:hyperlink w:anchor="Xa90406ba96b0b298f3561670cfd28dce6125405">
        <w:r>
          <w:rPr>
            <w:rStyle w:val="Hyperlink"/>
          </w:rPr>
          <w:t xml:space="preserve">Étude des solutions</w:t>
        </w:r>
      </w:hyperlink>
    </w:p>
    <w:p>
      <w:pPr>
        <w:pStyle w:val="Compact"/>
        <w:numPr>
          <w:ilvl w:val="0"/>
          <w:numId w:val="1001"/>
        </w:numPr>
      </w:pPr>
      <w:hyperlink w:anchor="X1f7c6a7484526e6c41646c687c5193c7221ab43">
        <w:r>
          <w:rPr>
            <w:rStyle w:val="Hyperlink"/>
          </w:rPr>
          <w:t xml:space="preserve">Architecture proposée — Vue d’ensemble</w:t>
        </w:r>
      </w:hyperlink>
    </w:p>
    <w:p>
      <w:pPr>
        <w:pStyle w:val="Compact"/>
        <w:numPr>
          <w:ilvl w:val="0"/>
          <w:numId w:val="1001"/>
        </w:numPr>
      </w:pPr>
      <w:hyperlink w:anchor="Xe36bfdcd34d8c84b80b5f85767130b77115d151">
        <w:r>
          <w:rPr>
            <w:rStyle w:val="Hyperlink"/>
          </w:rPr>
          <w:t xml:space="preserve">Plan d’exécution prévisionnel</w:t>
        </w:r>
      </w:hyperlink>
    </w:p>
    <w:p>
      <w:pPr>
        <w:pStyle w:val="Compact"/>
        <w:numPr>
          <w:ilvl w:val="0"/>
          <w:numId w:val="1001"/>
        </w:numPr>
      </w:pPr>
      <w:hyperlink w:anchor="X1b0b98e9e2fc146ced3a0133bece3966a597071">
        <w:r>
          <w:rPr>
            <w:rStyle w:val="Hyperlink"/>
          </w:rPr>
          <w:t xml:space="preserve">Synthèse et engagement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synthèse-exécutive"/>
    <w:p>
      <w:pPr>
        <w:pStyle w:val="Heading2"/>
      </w:pPr>
      <w:r>
        <w:t xml:space="preserve">1. Synthèse exécutive</w:t>
      </w:r>
    </w:p>
    <w:p>
      <w:pPr>
        <w:pStyle w:val="FirstParagraph"/>
      </w:pPr>
      <w:r>
        <w:t xml:space="preserve">Nova Syndicate, PME française spécialisée dans la distribution de composants high-tech destinés aux secteurs</w:t>
      </w:r>
      <w:r>
        <w:t xml:space="preserve"> </w:t>
      </w:r>
      <w:r>
        <w:rPr>
          <w:b/>
          <w:bCs/>
        </w:rPr>
        <w:t xml:space="preserve">médical, aérospatial et défense</w:t>
      </w:r>
      <w:r>
        <w:t xml:space="preserve">, fait appel à notre cabinet pour conduire la</w:t>
      </w:r>
      <w:r>
        <w:t xml:space="preserve"> </w:t>
      </w:r>
      <w:r>
        <w:rPr>
          <w:b/>
          <w:bCs/>
        </w:rPr>
        <w:t xml:space="preserve">modernisation complète de son infrastructure informatique</w:t>
      </w:r>
      <w:r>
        <w:t xml:space="preserve">.</w:t>
      </w:r>
    </w:p>
    <w:p>
      <w:pPr>
        <w:pStyle w:val="BodyText"/>
      </w:pPr>
      <w:r>
        <w:t xml:space="preserve">L’audit initial a révélé une infrastructure</w:t>
      </w:r>
      <w:r>
        <w:t xml:space="preserve"> </w:t>
      </w:r>
      <w:r>
        <w:rPr>
          <w:b/>
          <w:bCs/>
        </w:rPr>
        <w:t xml:space="preserve">fragmentée, obsolète et non-centralisée</w:t>
      </w:r>
      <w:r>
        <w:t xml:space="preserve">, incompatible avec les exigences de continuité, de traçabilité et de confidentialité imposées par les secteurs d’activité du client.</w:t>
      </w:r>
    </w:p>
    <w:p>
      <w:pPr>
        <w:pStyle w:val="BodyText"/>
      </w:pPr>
      <w:r>
        <w:t xml:space="preserve">Notre analyse identifie</w:t>
      </w:r>
      <w:r>
        <w:t xml:space="preserve"> </w:t>
      </w:r>
      <w:r>
        <w:rPr>
          <w:b/>
          <w:bCs/>
        </w:rPr>
        <w:t xml:space="preserve">sept axes de transformation prioritaires</w:t>
      </w:r>
      <w:r>
        <w:t xml:space="preserve"> </w:t>
      </w:r>
      <w:r>
        <w:t xml:space="preserve">: centralisation des identités, sécurisation périmétrique, segmentation réseau, supervision continue, sauvegardes résilientes, accès distant sécurisé pour les commerciaux itinérants, et interconnexion sécurisée des deux sites (Lyon et Marseille).</w:t>
      </w:r>
    </w:p>
    <w:p>
      <w:pPr>
        <w:pStyle w:val="BodyText"/>
      </w:pPr>
      <w:r>
        <w:t xml:space="preserve">La solution préconisée repose sur une</w:t>
      </w:r>
      <w:r>
        <w:t xml:space="preserve"> </w:t>
      </w:r>
      <w:r>
        <w:rPr>
          <w:b/>
          <w:bCs/>
        </w:rPr>
        <w:t xml:space="preserve">stack open-source production-grade</w:t>
      </w:r>
      <w:r>
        <w:t xml:space="preserve"> </w:t>
      </w:r>
      <w:r>
        <w:t xml:space="preserve">(Proxmox VE, OPNsense, Samba 4, Wazuh) déployée en Infrastructure-as-Code (Terraform + Cloud-Init). Cette approche permet de réduire le</w:t>
      </w:r>
      <w:r>
        <w:t xml:space="preserve"> </w:t>
      </w:r>
      <w:r>
        <w:rPr>
          <w:b/>
          <w:bCs/>
        </w:rPr>
        <w:t xml:space="preserve">TCO sur 3 ans de 89 %</w:t>
      </w:r>
      <w:r>
        <w:t xml:space="preserve"> </w:t>
      </w:r>
      <w:r>
        <w:t xml:space="preserve">par rapport à une solution propriétaire équivalente (Microsoft + Cisco + Splunk), tout en garantissant l’évolutivité, la reproductibilité et la souveraineté technologique.</w:t>
      </w:r>
    </w:p>
    <w:p>
      <w:pPr>
        <w:pStyle w:val="BodyText"/>
      </w:pPr>
      <w:r>
        <w:rPr>
          <w:b/>
          <w:bCs/>
        </w:rPr>
        <w:t xml:space="preserve">Indicateurs clés du livrable final visé</w:t>
      </w:r>
      <w:r>
        <w:t xml:space="preserve"> </w:t>
      </w:r>
      <w:r>
        <w:t xml:space="preserve">:</w:t>
      </w:r>
      <w:r>
        <w:t xml:space="preserve"> </w:t>
      </w:r>
      <w:r>
        <w:t xml:space="preserve">- 12 machines virtuelles déployées en 2 sites</w:t>
      </w:r>
      <w:r>
        <w:t xml:space="preserve"> </w:t>
      </w:r>
      <w:r>
        <w:t xml:space="preserve">- 5 VLANs segmentés + 6 bridges réseau isolés</w:t>
      </w:r>
      <w:r>
        <w:t xml:space="preserve"> </w:t>
      </w:r>
      <w:r>
        <w:t xml:space="preserve">- 1 tunnel IPsec IKEv2 AES-256 inter-sites</w:t>
      </w:r>
      <w:r>
        <w:t xml:space="preserve"> </w:t>
      </w:r>
      <w:r>
        <w:t xml:space="preserve">- Conformité</w:t>
      </w:r>
      <w:r>
        <w:t xml:space="preserve"> </w:t>
      </w:r>
      <w:r>
        <w:rPr>
          <w:b/>
          <w:bCs/>
        </w:rPr>
        <w:t xml:space="preserve">Deny-by-Default</w:t>
      </w:r>
      <w:r>
        <w:t xml:space="preserve"> </w:t>
      </w:r>
      <w:r>
        <w:t xml:space="preserve">sur l’ensemble des interfaces firewall</w:t>
      </w:r>
      <w:r>
        <w:t xml:space="preserve"> </w:t>
      </w:r>
      <w:r>
        <w:t xml:space="preserve">- SIEM avec collecte centralisée des logs</w:t>
      </w:r>
      <w:r>
        <w:t xml:space="preserve"> </w:t>
      </w:r>
      <w:r>
        <w:t xml:space="preserve">- TCO 3 ans estimé :</w:t>
      </w:r>
      <w:r>
        <w:t xml:space="preserve"> </w:t>
      </w:r>
      <w:r>
        <w:rPr>
          <w:b/>
          <w:bCs/>
        </w:rPr>
        <w:t xml:space="preserve">14 700 €</w:t>
      </w:r>
      <w:r>
        <w:t xml:space="preserve"> </w:t>
      </w:r>
      <w:r>
        <w:t xml:space="preserve">(vs. 132 920 € en solution propriétaire)</w:t>
      </w:r>
    </w:p>
    <w:p>
      <w:r>
        <w:pict>
          <v:rect style="width:0;height:1.5pt" o:hralign="center" o:hrstd="t" o:hr="t"/>
        </w:pict>
      </w:r>
    </w:p>
    <w:bookmarkEnd w:id="12"/>
    <w:bookmarkStart w:id="16" w:name="contexte-de-la-mission"/>
    <w:p>
      <w:pPr>
        <w:pStyle w:val="Heading2"/>
      </w:pPr>
      <w:r>
        <w:t xml:space="preserve">2. Contexte de la mission</w:t>
      </w:r>
    </w:p>
    <w:bookmarkStart w:id="13" w:name="origine-de-la-demande"/>
    <w:p>
      <w:pPr>
        <w:pStyle w:val="Heading3"/>
      </w:pPr>
      <w:r>
        <w:t xml:space="preserve">2.1 Origine de la demande</w:t>
      </w:r>
    </w:p>
    <w:p>
      <w:pPr>
        <w:pStyle w:val="FirstParagraph"/>
      </w:pPr>
      <w:r>
        <w:t xml:space="preserve">Nova Syndicate a engagé une démarche de transformation numérique fin 2025. Sa direction générale a constaté que l’infrastructure héritée — accumulée au fil de la croissance — ne répondait plus aux exigences :</w:t>
      </w:r>
      <w:r>
        <w:t xml:space="preserve"> </w:t>
      </w:r>
      <w:r>
        <w:t xml:space="preserve">- de</w:t>
      </w:r>
      <w:r>
        <w:t xml:space="preserve"> </w:t>
      </w:r>
      <w:r>
        <w:rPr>
          <w:b/>
          <w:bCs/>
        </w:rPr>
        <w:t xml:space="preserve">continuité de service</w:t>
      </w:r>
      <w:r>
        <w:t xml:space="preserve"> </w:t>
      </w:r>
      <w:r>
        <w:t xml:space="preserve">indispensable à ses clients institutionnels,</w:t>
      </w:r>
      <w:r>
        <w:t xml:space="preserve"> </w:t>
      </w:r>
      <w:r>
        <w:t xml:space="preserve">- de</w:t>
      </w:r>
      <w:r>
        <w:t xml:space="preserve"> </w:t>
      </w:r>
      <w:r>
        <w:rPr>
          <w:b/>
          <w:bCs/>
        </w:rPr>
        <w:t xml:space="preserve">traçabilité et auditabilité</w:t>
      </w:r>
      <w:r>
        <w:t xml:space="preserve"> </w:t>
      </w:r>
      <w:r>
        <w:t xml:space="preserve">imposées par les secteurs réglementés,</w:t>
      </w:r>
      <w:r>
        <w:t xml:space="preserve"> </w:t>
      </w:r>
      <w:r>
        <w:t xml:space="preserve">- d’</w:t>
      </w:r>
      <w:r>
        <w:rPr>
          <w:b/>
          <w:bCs/>
        </w:rPr>
        <w:t xml:space="preserve">agilité opérationnelle</w:t>
      </w:r>
      <w:r>
        <w:t xml:space="preserve"> </w:t>
      </w:r>
      <w:r>
        <w:t xml:space="preserve">face à une croissance de +30 %/an du chiffre d’affaires.</w:t>
      </w:r>
    </w:p>
    <w:p>
      <w:pPr>
        <w:pStyle w:val="BodyText"/>
      </w:pPr>
      <w:r>
        <w:t xml:space="preserve">Le présent dossier formalise la mission confiée à notre cabinet en tant que</w:t>
      </w:r>
      <w:r>
        <w:t xml:space="preserve"> </w:t>
      </w:r>
      <w:r>
        <w:rPr>
          <w:b/>
          <w:bCs/>
        </w:rPr>
        <w:t xml:space="preserve">consultants informatiques externes</w:t>
      </w:r>
      <w:r>
        <w:t xml:space="preserve">, mandatés pour la conception, le déploiement et la documentation de la cible.</w:t>
      </w:r>
    </w:p>
    <w:bookmarkEnd w:id="13"/>
    <w:bookmarkStart w:id="14" w:name="périmètre-fonctionnel"/>
    <w:p>
      <w:pPr>
        <w:pStyle w:val="Heading3"/>
      </w:pPr>
      <w:r>
        <w:t xml:space="preserve">2.2 Périmètre fonctionnel</w:t>
      </w:r>
    </w:p>
    <w:p>
      <w:pPr>
        <w:pStyle w:val="FirstParagraph"/>
      </w:pPr>
      <w:r>
        <w:t xml:space="preserve">Le périmètre couvre l’</w:t>
      </w:r>
      <w:r>
        <w:rPr>
          <w:b/>
          <w:bCs/>
        </w:rPr>
        <w:t xml:space="preserve">intégralité de l’infrastructure interne</w:t>
      </w:r>
      <w:r>
        <w:t xml:space="preserve"> </w:t>
      </w:r>
      <w:r>
        <w:t xml:space="preserve">du client : serveurs, réseau, sécurité, supervision, sauvegardes, accès distants et interconnexion multi-sites.</w:t>
      </w:r>
    </w:p>
    <w:p>
      <w:pPr>
        <w:pStyle w:val="BodyText"/>
      </w:pPr>
      <w:r>
        <w:t xml:space="preserve">Sont</w:t>
      </w:r>
      <w:r>
        <w:t xml:space="preserve"> </w:t>
      </w:r>
      <w:r>
        <w:rPr>
          <w:b/>
          <w:bCs/>
        </w:rPr>
        <w:t xml:space="preserve">hors périmètre</w:t>
      </w:r>
      <w:r>
        <w:t xml:space="preserve"> </w:t>
      </w:r>
      <w:r>
        <w:t xml:space="preserve">:</w:t>
      </w:r>
      <w:r>
        <w:t xml:space="preserve"> </w:t>
      </w:r>
      <w:r>
        <w:t xml:space="preserve">- Les postes de travail des collaborateurs (gérés par le service IT interne du client).</w:t>
      </w:r>
      <w:r>
        <w:t xml:space="preserve"> </w:t>
      </w:r>
      <w:r>
        <w:t xml:space="preserve">- Les applications métier hébergées en SaaS (non concernées par la transformation).</w:t>
      </w:r>
      <w:r>
        <w:t xml:space="preserve"> </w:t>
      </w:r>
      <w:r>
        <w:t xml:space="preserve">- La téléphonie sur IP (à étudier en phase ultérieure).</w:t>
      </w:r>
    </w:p>
    <w:bookmarkEnd w:id="14"/>
    <w:bookmarkStart w:id="15" w:name="modalités-dengagement"/>
    <w:p>
      <w:pPr>
        <w:pStyle w:val="Heading3"/>
      </w:pPr>
      <w:r>
        <w:t xml:space="preserve">2.3 Modalités d’engagement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 mission</w:t>
            </w:r>
          </w:p>
        </w:tc>
        <w:tc>
          <w:tcPr/>
          <w:p>
            <w:pPr>
              <w:pStyle w:val="Compact"/>
            </w:pPr>
            <w:r>
              <w:t xml:space="preserve">Consulting + Build +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prévue</w:t>
            </w:r>
          </w:p>
        </w:tc>
        <w:tc>
          <w:tcPr/>
          <w:p>
            <w:pPr>
              <w:pStyle w:val="Compact"/>
            </w:pPr>
            <w:r>
              <w:t xml:space="preserve">4 jours pleins (sprint intensif)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de livraison</w:t>
            </w:r>
          </w:p>
        </w:tc>
        <w:tc>
          <w:tcPr/>
          <w:p>
            <w:pPr>
              <w:pStyle w:val="Compact"/>
            </w:pPr>
            <w:r>
              <w:t xml:space="preserve">Infrastructure-as-Code + dossier technique + démonstration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de résultat</w:t>
            </w:r>
          </w:p>
        </w:tc>
        <w:tc>
          <w:tcPr/>
          <w:p>
            <w:pPr>
              <w:pStyle w:val="Compact"/>
            </w:pPr>
            <w:r>
              <w:t xml:space="preserve">Infrastructure fonctionnelle conforme aux exigences techniques minimales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documentaire</w:t>
            </w:r>
          </w:p>
        </w:tc>
        <w:tc>
          <w:tcPr/>
          <w:p>
            <w:pPr>
              <w:pStyle w:val="Compact"/>
            </w:pPr>
            <w:r>
              <w:t xml:space="preserve">Dossier de spécifications + manuel d’exploitation + 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résentation-du-client-nova-syndicate"/>
    <w:p>
      <w:pPr>
        <w:pStyle w:val="Heading2"/>
      </w:pPr>
      <w:r>
        <w:t xml:space="preserve">3. Présentation du client Nova Syndicate</w:t>
      </w:r>
    </w:p>
    <w:bookmarkStart w:id="17" w:name="identité-de-lentreprise"/>
    <w:p>
      <w:pPr>
        <w:pStyle w:val="Heading3"/>
      </w:pPr>
      <w:r>
        <w:t xml:space="preserve">3.1 Identité de l’entreprise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85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Raison sociale</w:t>
            </w:r>
          </w:p>
        </w:tc>
        <w:tc>
          <w:tcPr/>
          <w:p>
            <w:pPr>
              <w:pStyle w:val="Compact"/>
            </w:pPr>
            <w:r>
              <w:t xml:space="preserve">Nova Syndicate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Secteur</w:t>
            </w:r>
          </w:p>
        </w:tc>
        <w:tc>
          <w:tcPr/>
          <w:p>
            <w:pPr>
              <w:pStyle w:val="Compact"/>
            </w:pPr>
            <w:r>
              <w:t xml:space="preserve">Logistique de haute technologie / Distribution de composants cybernétiques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Marchés clients</w:t>
            </w:r>
          </w:p>
        </w:tc>
        <w:tc>
          <w:tcPr/>
          <w:p>
            <w:pPr>
              <w:pStyle w:val="Compact"/>
            </w:pPr>
            <w:r>
              <w:t xml:space="preserve">Médical · Aérospatial · Défense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Siège social</w:t>
            </w:r>
          </w:p>
        </w:tc>
        <w:tc>
          <w:tcPr/>
          <w:p>
            <w:pPr>
              <w:pStyle w:val="Compact"/>
            </w:pPr>
            <w:r>
              <w:t xml:space="preserve">Lyon, France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secondaire</w:t>
            </w:r>
          </w:p>
        </w:tc>
        <w:tc>
          <w:tcPr/>
          <w:p>
            <w:pPr>
              <w:pStyle w:val="Compact"/>
            </w:pPr>
            <w:r>
              <w:t xml:space="preserve">Marseille, France (bureau régional)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Effectif total</w:t>
            </w:r>
          </w:p>
        </w:tc>
        <w:tc>
          <w:tcPr/>
          <w:p>
            <w:pPr>
              <w:pStyle w:val="Compact"/>
            </w:pPr>
            <w:r>
              <w:t xml:space="preserve">85 collaborateurs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juridique</w:t>
            </w:r>
          </w:p>
        </w:tc>
        <w:tc>
          <w:tcPr/>
          <w:p>
            <w:pPr>
              <w:pStyle w:val="Compact"/>
            </w:pPr>
            <w:r>
              <w:t xml:space="preserve">PME française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Maturité numérique</w:t>
            </w:r>
          </w:p>
        </w:tc>
        <w:tc>
          <w:tcPr/>
          <w:p>
            <w:pPr>
              <w:pStyle w:val="Compact"/>
            </w:pPr>
            <w:r>
              <w:t xml:space="preserve">Faible (infrastructure héritée, non-centralisée)</w:t>
            </w:r>
          </w:p>
        </w:tc>
      </w:tr>
    </w:tbl>
    <w:bookmarkEnd w:id="17"/>
    <w:bookmarkStart w:id="18" w:name="répartition-des-effectifs"/>
    <w:p>
      <w:pPr>
        <w:pStyle w:val="Heading3"/>
      </w:pPr>
      <w:r>
        <w:t xml:space="preserve">3.2 Répartition des effectifs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20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 / Statut</w:t>
            </w:r>
          </w:p>
        </w:tc>
        <w:tc>
          <w:tcPr/>
          <w:p>
            <w:pPr>
              <w:pStyle w:val="Compact"/>
            </w:pPr>
            <w:r>
              <w:t xml:space="preserve">Effectif</w:t>
            </w:r>
          </w:p>
        </w:tc>
        <w:tc>
          <w:tcPr/>
          <w:p>
            <w:pPr>
              <w:pStyle w:val="Compact"/>
            </w:pPr>
            <w:r>
              <w:t xml:space="preserve">Typologie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Lyon (siège)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Direction, administration, R&amp;D,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Marseille (bureau régional)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Logistique, support technique régional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Commerciaux itinérants (remote)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Force commerciale terrain — partout en France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activité-et-exigences-sectorielles"/>
    <w:p>
      <w:pPr>
        <w:pStyle w:val="Heading3"/>
      </w:pPr>
      <w:r>
        <w:t xml:space="preserve">3.3 Activité et exigences sectorielles</w:t>
      </w:r>
    </w:p>
    <w:p>
      <w:pPr>
        <w:pStyle w:val="FirstParagraph"/>
      </w:pPr>
      <w:r>
        <w:t xml:space="preserve">Nova Syndicate distribue des composants critiques à destination de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Secteur médical</w:t>
      </w:r>
      <w:r>
        <w:t xml:space="preserve"> </w:t>
      </w:r>
      <w:r>
        <w:t xml:space="preserve">: équipements de diagnostic, instruments chirurgicaux connectés, dispositifs implantables.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Secteur aérospatial</w:t>
      </w:r>
      <w:r>
        <w:t xml:space="preserve"> </w:t>
      </w:r>
      <w:r>
        <w:t xml:space="preserve">: composants embarqués avioniques, équipements de test au sol.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Secteur défense</w:t>
      </w:r>
      <w:r>
        <w:t xml:space="preserve"> </w:t>
      </w:r>
      <w:r>
        <w:t xml:space="preserve">: composants électroniques pour systèmes d’armes, équipements communicants durcis.</w:t>
      </w:r>
    </w:p>
    <w:p>
      <w:pPr>
        <w:pStyle w:val="BodyText"/>
      </w:pPr>
      <w:r>
        <w:t xml:space="preserve">Ces secteurs imposent un cadre réglementaire et normatif strict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2"/>
        <w:gridCol w:w="4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Norme / Régulation</w:t>
            </w:r>
          </w:p>
        </w:tc>
        <w:tc>
          <w:tcPr/>
          <w:p>
            <w:pPr>
              <w:pStyle w:val="Compact"/>
            </w:pPr>
            <w:r>
              <w:t xml:space="preserve">Implication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RGPD (Règlement européen 2016/679)</w:t>
            </w:r>
          </w:p>
        </w:tc>
        <w:tc>
          <w:tcPr/>
          <w:p>
            <w:pPr>
              <w:pStyle w:val="Compact"/>
            </w:pPr>
            <w:r>
              <w:t xml:space="preserve">Protection des données personnelles clients et collaborateurs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Système de management de la sécurité de l’information (visée)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13485</w:t>
            </w:r>
            <w:r>
              <w:t xml:space="preserve"> </w:t>
            </w:r>
            <w:r>
              <w:t xml:space="preserve">(médical)</w:t>
            </w:r>
          </w:p>
        </w:tc>
        <w:tc>
          <w:tcPr/>
          <w:p>
            <w:pPr>
              <w:pStyle w:val="Compact"/>
            </w:pPr>
            <w:r>
              <w:t xml:space="preserve">Traçabilité des produits et des accès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DEF-STAN / EN 9100</w:t>
            </w:r>
            <w:r>
              <w:t xml:space="preserve"> </w:t>
            </w:r>
            <w:r>
              <w:t xml:space="preserve">(défense / aéro)</w:t>
            </w:r>
          </w:p>
        </w:tc>
        <w:tc>
          <w:tcPr/>
          <w:p>
            <w:pPr>
              <w:pStyle w:val="Compact"/>
            </w:pPr>
            <w:r>
              <w:t xml:space="preserve">Confidentialité, segmentation, journalisation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 de Programmation Militaire (LPM)</w:t>
            </w:r>
          </w:p>
        </w:tc>
        <w:tc>
          <w:tcPr/>
          <w:p>
            <w:pPr>
              <w:pStyle w:val="Compact"/>
            </w:pPr>
            <w:r>
              <w:t xml:space="preserve">Protection des données sensibles défense</w:t>
            </w:r>
          </w:p>
        </w:tc>
      </w:tr>
    </w:tbl>
    <w:bookmarkEnd w:id="19"/>
    <w:bookmarkStart w:id="20" w:name="diagnostic-de-lexistant-audit-initial"/>
    <w:p>
      <w:pPr>
        <w:pStyle w:val="Heading3"/>
      </w:pPr>
      <w:r>
        <w:t xml:space="preserve">3.4 Diagnostic de l’existant (audit initial)</w:t>
      </w:r>
    </w:p>
    <w:p>
      <w:pPr>
        <w:pStyle w:val="FirstParagraph"/>
      </w:pPr>
      <w:r>
        <w:t xml:space="preserve">L’audit initial mené sur site (Lyon et Marseille) a mis en évidence :</w:t>
      </w:r>
    </w:p>
    <w:p>
      <w:pPr>
        <w:pStyle w:val="BodyText"/>
      </w:pPr>
      <w:r>
        <w:rPr>
          <w:b/>
          <w:bCs/>
        </w:rPr>
        <w:t xml:space="preserve">Constats négatifs :</w:t>
      </w:r>
      <w:r>
        <w:t xml:space="preserve"> </w:t>
      </w:r>
      <w:r>
        <w:t xml:space="preserve">- Aucun annuaire centralisé : comptes utilisateurs créés manuellement sur chaque poste.</w:t>
      </w:r>
      <w:r>
        <w:t xml:space="preserve"> </w:t>
      </w:r>
      <w:r>
        <w:t xml:space="preserve">- Partage de fichiers via des disques réseau locaux non répliqués, sans contrôle d’accès granulaire.</w:t>
      </w:r>
      <w:r>
        <w:t xml:space="preserve"> </w:t>
      </w:r>
      <w:r>
        <w:t xml:space="preserve">- Aucun firewall périmétrique configuré : la box opérateur fait office de passerelle directe.</w:t>
      </w:r>
      <w:r>
        <w:t xml:space="preserve"> </w:t>
      </w:r>
      <w:r>
        <w:t xml:space="preserve">- Aucun système de supervision : les incidents ne sont identifiés qu’a posteriori, par les utilisateurs.</w:t>
      </w:r>
      <w:r>
        <w:t xml:space="preserve"> </w:t>
      </w:r>
      <w:r>
        <w:t xml:space="preserve">- Sauvegardes ponctuelles, sans procédure formalisée, sans test de restauration.</w:t>
      </w:r>
      <w:r>
        <w:t xml:space="preserve"> </w:t>
      </w:r>
      <w:r>
        <w:t xml:space="preserve">- Accès distant des commerciaux : VPN gratuits grand public installés à l’initiative individuelle.</w:t>
      </w:r>
      <w:r>
        <w:t xml:space="preserve"> </w:t>
      </w:r>
      <w:r>
        <w:t xml:space="preserve">- Aucune ségrégation entre serveurs critiques et postes utilisateurs.</w:t>
      </w:r>
      <w:r>
        <w:t xml:space="preserve"> </w:t>
      </w:r>
      <w:r>
        <w:t xml:space="preserve">- Aucune politique de mots de passe.</w:t>
      </w:r>
    </w:p>
    <w:p>
      <w:pPr>
        <w:pStyle w:val="BodyText"/>
      </w:pPr>
      <w:r>
        <w:rPr>
          <w:b/>
          <w:bCs/>
        </w:rPr>
        <w:t xml:space="preserve">Points forts identifiés :</w:t>
      </w:r>
      <w:r>
        <w:t xml:space="preserve"> </w:t>
      </w:r>
      <w:r>
        <w:t xml:space="preserve">- Personnel IT motivé et compétent (2 ETP, principalement orientés support utilisateur).</w:t>
      </w:r>
      <w:r>
        <w:t xml:space="preserve"> </w:t>
      </w:r>
      <w:r>
        <w:t xml:space="preserve">- Direction sponsor du projet, budget validé pour 36 mois.</w:t>
      </w:r>
      <w:r>
        <w:t xml:space="preserve"> </w:t>
      </w:r>
      <w:r>
        <w:t xml:space="preserve">- Capacité d’investissement en infrastructure (matériel et licences open-source).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adre-méthodologique"/>
    <w:p>
      <w:pPr>
        <w:pStyle w:val="Heading2"/>
      </w:pPr>
      <w:r>
        <w:t xml:space="preserve">4. Cadre méthodologique</w:t>
      </w:r>
    </w:p>
    <w:bookmarkStart w:id="22" w:name="démarche-adoptée"/>
    <w:p>
      <w:pPr>
        <w:pStyle w:val="Heading3"/>
      </w:pPr>
      <w:r>
        <w:t xml:space="preserve">4.1 Démarche adoptée</w:t>
      </w:r>
    </w:p>
    <w:p>
      <w:pPr>
        <w:pStyle w:val="FirstParagraph"/>
      </w:pPr>
      <w:r>
        <w:t xml:space="preserve">Notre intervention suit une démarche structurée en</w:t>
      </w:r>
      <w:r>
        <w:t xml:space="preserve"> </w:t>
      </w:r>
      <w:r>
        <w:rPr>
          <w:b/>
          <w:bCs/>
        </w:rPr>
        <w:t xml:space="preserve">trois phases</w:t>
      </w:r>
      <w:r>
        <w:t xml:space="preserve"> </w:t>
      </w:r>
      <w:r>
        <w:t xml:space="preserve">alignée sur les bonnes pratiques de conduite de projet IT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PHASE I — Comprendre  →  PHASE II — Concevoir &amp; Déployer      │</w:t>
      </w:r>
      <w:r>
        <w:br/>
      </w:r>
      <w:r>
        <w:rPr>
          <w:rStyle w:val="VerbatimChar"/>
        </w:rPr>
        <w:t xml:space="preserve">│                                            ↓                    │</w:t>
      </w:r>
      <w:r>
        <w:br/>
      </w:r>
      <w:r>
        <w:rPr>
          <w:rStyle w:val="VerbatimChar"/>
        </w:rPr>
        <w:t xml:space="preserve">│                              PHASE III — Améliorer &amp; Renforcer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Le présent document constitue le livrable de la</w:t>
      </w:r>
      <w:r>
        <w:t xml:space="preserve"> </w:t>
      </w:r>
      <w:r>
        <w:rPr>
          <w:b/>
          <w:bCs/>
        </w:rPr>
        <w:t xml:space="preserve">Phase I</w:t>
      </w:r>
      <w:r>
        <w:t xml:space="preserve">.</w:t>
      </w:r>
    </w:p>
    <w:bookmarkEnd w:id="22"/>
    <w:bookmarkStart w:id="23" w:name="référentiels-appliqués"/>
    <w:p>
      <w:pPr>
        <w:pStyle w:val="Heading3"/>
      </w:pPr>
      <w:r>
        <w:t xml:space="preserve">4.2 Référentiels appliqués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</w:t>
      </w:r>
      <w:r>
        <w:t xml:space="preserve"> </w:t>
      </w:r>
      <w:r>
        <w:t xml:space="preserve">: approche</w:t>
      </w:r>
      <w:r>
        <w:t xml:space="preserve"> </w:t>
      </w:r>
      <w:r>
        <w:rPr>
          <w:i/>
          <w:iCs/>
        </w:rPr>
        <w:t xml:space="preserve">Security by Design</w:t>
      </w:r>
      <w:r>
        <w:t xml:space="preserve"> </w:t>
      </w:r>
      <w:r>
        <w:t xml:space="preserve">(NIST SP 800-160).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Sécurité réseau</w:t>
      </w:r>
      <w:r>
        <w:t xml:space="preserve"> </w:t>
      </w:r>
      <w:r>
        <w:t xml:space="preserve">: modèle</w:t>
      </w:r>
      <w:r>
        <w:t xml:space="preserve"> </w:t>
      </w:r>
      <w:r>
        <w:rPr>
          <w:i/>
          <w:iCs/>
        </w:rPr>
        <w:t xml:space="preserve">Zero Trust</w:t>
      </w:r>
      <w:r>
        <w:t xml:space="preserve"> </w:t>
      </w:r>
      <w:r>
        <w:t xml:space="preserve">(NIST SP 800-207) +</w:t>
      </w:r>
      <w:r>
        <w:t xml:space="preserve"> </w:t>
      </w:r>
      <w:r>
        <w:rPr>
          <w:i/>
          <w:iCs/>
        </w:rPr>
        <w:t xml:space="preserve">Defense in Depth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 des accès</w:t>
      </w:r>
      <w:r>
        <w:t xml:space="preserve"> </w:t>
      </w:r>
      <w:r>
        <w:t xml:space="preserve">: principe du</w:t>
      </w:r>
      <w:r>
        <w:t xml:space="preserve"> </w:t>
      </w:r>
      <w:r>
        <w:rPr>
          <w:i/>
          <w:iCs/>
        </w:rPr>
        <w:t xml:space="preserve">Least Privilege</w:t>
      </w:r>
      <w:r>
        <w:t xml:space="preserve"> </w:t>
      </w:r>
      <w:r>
        <w:t xml:space="preserve">(ANSSI).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Continuité d’activité</w:t>
      </w:r>
      <w:r>
        <w:t xml:space="preserve"> </w:t>
      </w:r>
      <w:r>
        <w:t xml:space="preserve">: ISO 22301.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Sécurité de l’information</w:t>
      </w:r>
      <w:r>
        <w:t xml:space="preserve"> </w:t>
      </w:r>
      <w:r>
        <w:t xml:space="preserve">: ISO 27001/27002.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Modélisation des menaces</w:t>
      </w:r>
      <w:r>
        <w:t xml:space="preserve"> </w:t>
      </w:r>
      <w:r>
        <w:t xml:space="preserve">: STRIDE (Microsoft Threat Modeling).</w:t>
      </w:r>
    </w:p>
    <w:bookmarkEnd w:id="23"/>
    <w:bookmarkStart w:id="24" w:name="outils-de-pilotage-du-projet"/>
    <w:p>
      <w:pPr>
        <w:pStyle w:val="Heading3"/>
      </w:pPr>
      <w:r>
        <w:t xml:space="preserve">4.3 Outils de pilotage du projet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 de projet</w:t>
      </w:r>
      <w:r>
        <w:t xml:space="preserve"> </w:t>
      </w:r>
      <w:r>
        <w:t xml:space="preserve">: Notion (Kanban + Gantt + budget + documentation).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Versioning</w:t>
      </w:r>
      <w:r>
        <w:t xml:space="preserve"> </w:t>
      </w:r>
      <w:r>
        <w:t xml:space="preserve">: Git (GitHub).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Infrastructure-as-Code</w:t>
      </w:r>
      <w:r>
        <w:t xml:space="preserve"> </w:t>
      </w:r>
      <w:r>
        <w:t xml:space="preserve">: Terraform + Cloud-Init.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 technique</w:t>
      </w:r>
      <w:r>
        <w:t xml:space="preserve"> </w:t>
      </w:r>
      <w:r>
        <w:t xml:space="preserve">: Markdown + Excalidraw (schémas) + Word/PDF (livrables).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analyse-des-besoins"/>
    <w:p>
      <w:pPr>
        <w:pStyle w:val="Heading2"/>
      </w:pPr>
      <w:r>
        <w:t xml:space="preserve">5. Analyse des besoins</w:t>
      </w:r>
    </w:p>
    <w:bookmarkStart w:id="33" w:name="besoins-fonctionnels"/>
    <w:p>
      <w:pPr>
        <w:pStyle w:val="Heading3"/>
      </w:pPr>
      <w:r>
        <w:t xml:space="preserve">5.1 Besoins fonctionnels</w:t>
      </w:r>
    </w:p>
    <w:bookmarkStart w:id="26" w:name="X24217071df77fc15958613a7136b4254bf4a90e"/>
    <w:p>
      <w:pPr>
        <w:pStyle w:val="Heading4"/>
      </w:pPr>
      <w:r>
        <w:t xml:space="preserve">B-FCT-01 : Gestion centralisée des identités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Disposer d’un annuaire unique répertoriant l’ensemble des 85 collaborateurs avec leurs droits d’accès aux ressources.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Suppression du provisionnement manuel par poste, traçabilité des comptes, conformité RGPD.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★★★ Critique</w:t>
      </w:r>
    </w:p>
    <w:bookmarkEnd w:id="26"/>
    <w:bookmarkStart w:id="27" w:name="X6b136e2a07a694b63a6efbbd4a57b093ed53b7e"/>
    <w:p>
      <w:pPr>
        <w:pStyle w:val="Heading4"/>
      </w:pPr>
      <w:r>
        <w:t xml:space="preserve">B-FCT-02 : Hébergement d’un portail web interne / public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Plateforme web pour les commerciaux (consultation catalogue, suivi des commandes) avec exposition publique.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Mobilité des commerciaux, vitrine client, suivi en temps réel.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 Haute</w:t>
      </w:r>
    </w:p>
    <w:bookmarkEnd w:id="27"/>
    <w:bookmarkStart w:id="28" w:name="Xe855aa34c5a51152a5a424e46cd0ea599fc3b37"/>
    <w:p>
      <w:pPr>
        <w:pStyle w:val="Heading4"/>
      </w:pPr>
      <w:r>
        <w:t xml:space="preserve">B-FCT-03 : Base de données relationnelle métier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Stockage centralisé du catalogue produits, des références clients, des historiques de commandes.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Données critiques de l’activité, requêtes complexes, intégrité référentielle.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★★★ Critique</w:t>
      </w:r>
    </w:p>
    <w:bookmarkEnd w:id="28"/>
    <w:bookmarkStart w:id="29" w:name="b-fct-04-partage-de-fichiers-dentreprise"/>
    <w:p>
      <w:pPr>
        <w:pStyle w:val="Heading4"/>
      </w:pPr>
      <w:r>
        <w:t xml:space="preserve">B-FCT-04 : Partage de fichiers d’entreprise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Espace de stockage centralisé, accessible avec authentification, depuis les deux sites.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Suppression des copies locales non synchronisées, contrôle d’accès, audit.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★★★ Critique</w:t>
      </w:r>
    </w:p>
    <w:bookmarkEnd w:id="29"/>
    <w:bookmarkStart w:id="30" w:name="b-fct-05-messagerie-interne"/>
    <w:p>
      <w:pPr>
        <w:pStyle w:val="Heading4"/>
      </w:pPr>
      <w:r>
        <w:t xml:space="preserve">B-FCT-05 : Messagerie interne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Service email interne pour les collaborateurs (volume initial : 85 boîtes).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Souveraineté des échanges (secteur défense), maîtrise des coûts récurrents.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 Haute</w:t>
      </w:r>
    </w:p>
    <w:bookmarkEnd w:id="30"/>
    <w:bookmarkStart w:id="31" w:name="X5588425df384e6bcfb3db5d11cc5367ad1f7225"/>
    <w:p>
      <w:pPr>
        <w:pStyle w:val="Heading4"/>
      </w:pPr>
      <w:r>
        <w:t xml:space="preserve">B-FCT-06 : Accès distant sécurisé pour les commerciaux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Connexion VPN pour les 20 commerciaux itinérants leur permettant d’accéder aux ressources internes.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Mobilité commerciale, sécurisation des accès depuis l’extérieur.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★★★ Critique</w:t>
      </w:r>
    </w:p>
    <w:bookmarkEnd w:id="31"/>
    <w:bookmarkStart w:id="32" w:name="X93637d86b9a8252d4b6fb52f7e6c15dd2b184b7"/>
    <w:p>
      <w:pPr>
        <w:pStyle w:val="Heading4"/>
      </w:pPr>
      <w:r>
        <w:t xml:space="preserve">B-FCT-07 : Interconnexion sécurisée des sites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Liaison chiffrée et permanente entre Lyon et Marseille permettant le partage des ressources.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: Productivité du site régional, accès AD et fichiers transverses.</w:t>
      </w:r>
      <w:r>
        <w:t xml:space="preserve"> </w:t>
      </w:r>
      <w:r>
        <w:rPr>
          <w:b/>
          <w:bCs/>
        </w:rPr>
        <w:t xml:space="preserve">Criticité</w:t>
      </w:r>
      <w:r>
        <w:t xml:space="preserve"> </w:t>
      </w:r>
      <w:r>
        <w:t xml:space="preserve">: ★★★ Critique</w:t>
      </w:r>
    </w:p>
    <w:bookmarkEnd w:id="32"/>
    <w:bookmarkEnd w:id="33"/>
    <w:bookmarkStart w:id="41" w:name="besoins-non-fonctionnels"/>
    <w:p>
      <w:pPr>
        <w:pStyle w:val="Heading3"/>
      </w:pPr>
      <w:r>
        <w:t xml:space="preserve">5.2 Besoins non-fonctionnels</w:t>
      </w:r>
    </w:p>
    <w:bookmarkStart w:id="34" w:name="b-nfc-01-sécurité"/>
    <w:p>
      <w:pPr>
        <w:pStyle w:val="Heading4"/>
      </w:pPr>
      <w:r>
        <w:t xml:space="preserve">B-NFC-01 : Sécurité</w:t>
      </w:r>
    </w:p>
    <w:p>
      <w:pPr>
        <w:pStyle w:val="Compact"/>
        <w:numPr>
          <w:ilvl w:val="0"/>
          <w:numId w:val="1004"/>
        </w:numPr>
      </w:pPr>
      <w:r>
        <w:t xml:space="preserve">Chiffrement systématique des flux sortants (TLS, IPsec).</w:t>
      </w:r>
    </w:p>
    <w:p>
      <w:pPr>
        <w:pStyle w:val="Compact"/>
        <w:numPr>
          <w:ilvl w:val="0"/>
          <w:numId w:val="1004"/>
        </w:numPr>
      </w:pPr>
      <w:r>
        <w:t xml:space="preserve">Authentification forte pour les accès administrateurs.</w:t>
      </w:r>
    </w:p>
    <w:p>
      <w:pPr>
        <w:pStyle w:val="Compact"/>
        <w:numPr>
          <w:ilvl w:val="0"/>
          <w:numId w:val="1004"/>
        </w:numPr>
      </w:pPr>
      <w:r>
        <w:t xml:space="preserve">Politique</w:t>
      </w:r>
      <w:r>
        <w:t xml:space="preserve"> </w:t>
      </w:r>
      <w:r>
        <w:rPr>
          <w:i/>
          <w:iCs/>
        </w:rPr>
        <w:t xml:space="preserve">Deny-by-Default</w:t>
      </w:r>
      <w:r>
        <w:t xml:space="preserve"> </w:t>
      </w:r>
      <w:r>
        <w:t xml:space="preserve">sur l’ensemble du périmètre.</w:t>
      </w:r>
    </w:p>
    <w:p>
      <w:pPr>
        <w:pStyle w:val="Compact"/>
        <w:numPr>
          <w:ilvl w:val="0"/>
          <w:numId w:val="1004"/>
        </w:numPr>
      </w:pPr>
      <w:r>
        <w:t xml:space="preserve">Détection des intrusions sur le périmètre externe.</w:t>
      </w:r>
    </w:p>
    <w:bookmarkEnd w:id="34"/>
    <w:bookmarkStart w:id="35" w:name="b-nfc-02-disponibilité"/>
    <w:p>
      <w:pPr>
        <w:pStyle w:val="Heading4"/>
      </w:pPr>
      <w:r>
        <w:t xml:space="preserve">B-NFC-02 : Disponibilité</w:t>
      </w:r>
    </w:p>
    <w:p>
      <w:pPr>
        <w:pStyle w:val="Compact"/>
        <w:numPr>
          <w:ilvl w:val="0"/>
          <w:numId w:val="1005"/>
        </w:numPr>
      </w:pPr>
      <w:r>
        <w:t xml:space="preserve">Disponibilité cible globale :</w:t>
      </w:r>
      <w:r>
        <w:t xml:space="preserve"> </w:t>
      </w:r>
      <w:r>
        <w:rPr>
          <w:b/>
          <w:bCs/>
        </w:rPr>
        <w:t xml:space="preserve">99,5 %</w:t>
      </w:r>
      <w:r>
        <w:t xml:space="preserve"> </w:t>
      </w:r>
      <w:r>
        <w:t xml:space="preserve">(4 h d’indisponibilité tolérée par mois).</w:t>
      </w:r>
    </w:p>
    <w:p>
      <w:pPr>
        <w:pStyle w:val="Compact"/>
        <w:numPr>
          <w:ilvl w:val="0"/>
          <w:numId w:val="1005"/>
        </w:numPr>
      </w:pPr>
      <w:r>
        <w:t xml:space="preserve">Disponibilité du portail web public :</w:t>
      </w:r>
      <w:r>
        <w:t xml:space="preserve"> </w:t>
      </w:r>
      <w:r>
        <w:rPr>
          <w:b/>
          <w:bCs/>
        </w:rPr>
        <w:t xml:space="preserve">99,9 %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Tolérance à la perte d’un site (continuité partielle si Marseille tombe).</w:t>
      </w:r>
    </w:p>
    <w:bookmarkEnd w:id="35"/>
    <w:bookmarkStart w:id="36" w:name="b-nfc-03-confidentialité"/>
    <w:p>
      <w:pPr>
        <w:pStyle w:val="Heading4"/>
      </w:pPr>
      <w:r>
        <w:t xml:space="preserve">B-NFC-03 : Confidentialité</w:t>
      </w:r>
    </w:p>
    <w:p>
      <w:pPr>
        <w:pStyle w:val="Compact"/>
        <w:numPr>
          <w:ilvl w:val="0"/>
          <w:numId w:val="1006"/>
        </w:numPr>
      </w:pPr>
      <w:r>
        <w:t xml:space="preserve">Segmentation stricte entre les segments réseau (DMZ / SERVERS / USERS / MGMT).</w:t>
      </w:r>
    </w:p>
    <w:p>
      <w:pPr>
        <w:pStyle w:val="Compact"/>
        <w:numPr>
          <w:ilvl w:val="0"/>
          <w:numId w:val="1006"/>
        </w:numPr>
      </w:pPr>
      <w:r>
        <w:t xml:space="preserve">Aucun accès direct depuis Internet vers les serveurs internes.</w:t>
      </w:r>
    </w:p>
    <w:p>
      <w:pPr>
        <w:pStyle w:val="Compact"/>
        <w:numPr>
          <w:ilvl w:val="0"/>
          <w:numId w:val="1006"/>
        </w:numPr>
      </w:pPr>
      <w:r>
        <w:t xml:space="preserve">Logs d’accès conservés au minimum 12 mois (exigence sectorielle).</w:t>
      </w:r>
    </w:p>
    <w:bookmarkEnd w:id="36"/>
    <w:bookmarkStart w:id="37" w:name="b-nfc-04-traçabilité"/>
    <w:p>
      <w:pPr>
        <w:pStyle w:val="Heading4"/>
      </w:pPr>
      <w:r>
        <w:t xml:space="preserve">B-NFC-04 : Traçabilité</w:t>
      </w:r>
    </w:p>
    <w:p>
      <w:pPr>
        <w:pStyle w:val="Compact"/>
        <w:numPr>
          <w:ilvl w:val="0"/>
          <w:numId w:val="1007"/>
        </w:numPr>
      </w:pPr>
      <w:r>
        <w:t xml:space="preserve">Journalisation centralisée de tous les événements de sécurité.</w:t>
      </w:r>
    </w:p>
    <w:p>
      <w:pPr>
        <w:pStyle w:val="Compact"/>
        <w:numPr>
          <w:ilvl w:val="0"/>
          <w:numId w:val="1007"/>
        </w:numPr>
      </w:pPr>
      <w:r>
        <w:t xml:space="preserve">Alerte temps réel en cas d’anomalie comportementale.</w:t>
      </w:r>
    </w:p>
    <w:p>
      <w:pPr>
        <w:pStyle w:val="Compact"/>
        <w:numPr>
          <w:ilvl w:val="0"/>
          <w:numId w:val="1007"/>
        </w:numPr>
      </w:pPr>
      <w:r>
        <w:t xml:space="preserve">Conservation des logs sur stockage isolé du périmètre attaqué (anti-falsification).</w:t>
      </w:r>
    </w:p>
    <w:bookmarkEnd w:id="37"/>
    <w:bookmarkStart w:id="38" w:name="b-nfc-05-évolutivité"/>
    <w:p>
      <w:pPr>
        <w:pStyle w:val="Heading4"/>
      </w:pPr>
      <w:r>
        <w:t xml:space="preserve">B-NFC-05 : Évolutivité</w:t>
      </w:r>
    </w:p>
    <w:p>
      <w:pPr>
        <w:pStyle w:val="Compact"/>
        <w:numPr>
          <w:ilvl w:val="0"/>
          <w:numId w:val="1008"/>
        </w:numPr>
      </w:pPr>
      <w:r>
        <w:t xml:space="preserve">Capacité à doubler le nombre d’utilisateurs sans refonte d’architecture.</w:t>
      </w:r>
    </w:p>
    <w:p>
      <w:pPr>
        <w:pStyle w:val="Compact"/>
        <w:numPr>
          <w:ilvl w:val="0"/>
          <w:numId w:val="1008"/>
        </w:numPr>
      </w:pPr>
      <w:r>
        <w:t xml:space="preserve">Provisionnement de nouvelles machines virtuelles en moins de 5 minutes via IaC.</w:t>
      </w:r>
    </w:p>
    <w:p>
      <w:pPr>
        <w:pStyle w:val="Compact"/>
        <w:numPr>
          <w:ilvl w:val="0"/>
          <w:numId w:val="1008"/>
        </w:numPr>
      </w:pPr>
      <w:r>
        <w:t xml:space="preserve">Modèle d’adressage permettant l’extension à un troisième site.</w:t>
      </w:r>
    </w:p>
    <w:bookmarkEnd w:id="38"/>
    <w:bookmarkStart w:id="39" w:name="b-nfc-06-maintenabilité"/>
    <w:p>
      <w:pPr>
        <w:pStyle w:val="Heading4"/>
      </w:pPr>
      <w:r>
        <w:t xml:space="preserve">B-NFC-06 : Maintenabilité</w:t>
      </w:r>
    </w:p>
    <w:p>
      <w:pPr>
        <w:pStyle w:val="Compact"/>
        <w:numPr>
          <w:ilvl w:val="0"/>
          <w:numId w:val="1009"/>
        </w:numPr>
      </w:pPr>
      <w:r>
        <w:t xml:space="preserve">Configuration entièrement versionnée (Git).</w:t>
      </w:r>
    </w:p>
    <w:p>
      <w:pPr>
        <w:pStyle w:val="Compact"/>
        <w:numPr>
          <w:ilvl w:val="0"/>
          <w:numId w:val="1009"/>
        </w:numPr>
      </w:pPr>
      <w:r>
        <w:t xml:space="preserve">Procédures opérationnelles documentées.</w:t>
      </w:r>
    </w:p>
    <w:p>
      <w:pPr>
        <w:pStyle w:val="Compact"/>
        <w:numPr>
          <w:ilvl w:val="0"/>
          <w:numId w:val="1009"/>
        </w:numPr>
      </w:pPr>
      <w:r>
        <w:t xml:space="preserve">Capacité de reconstruction complète à partir du code en moins de 4 heures.</w:t>
      </w:r>
    </w:p>
    <w:bookmarkEnd w:id="39"/>
    <w:bookmarkStart w:id="40" w:name="b-nfc-07-coût-total-de-possession-tco"/>
    <w:p>
      <w:pPr>
        <w:pStyle w:val="Heading4"/>
      </w:pPr>
      <w:r>
        <w:t xml:space="preserve">B-NFC-07 : Coût total de possession (TCO)</w:t>
      </w:r>
    </w:p>
    <w:p>
      <w:pPr>
        <w:pStyle w:val="Compact"/>
        <w:numPr>
          <w:ilvl w:val="0"/>
          <w:numId w:val="1010"/>
        </w:numPr>
      </w:pPr>
      <w:r>
        <w:t xml:space="preserve">Budget plafonné par la direction :</w:t>
      </w:r>
      <w:r>
        <w:t xml:space="preserve"> </w:t>
      </w:r>
      <w:r>
        <w:rPr>
          <w:b/>
          <w:bCs/>
        </w:rPr>
        <w:t xml:space="preserve">20 000 € HT sur 3 ans</w:t>
      </w:r>
      <w:r>
        <w:t xml:space="preserve"> </w:t>
      </w:r>
      <w:r>
        <w:t xml:space="preserve">(CAPEX + OPEX hors temps homme).</w:t>
      </w:r>
    </w:p>
    <w:p>
      <w:pPr>
        <w:pStyle w:val="Compact"/>
        <w:numPr>
          <w:ilvl w:val="0"/>
          <w:numId w:val="1010"/>
        </w:numPr>
      </w:pPr>
      <w:r>
        <w:t xml:space="preserve">Préférence pour les solutions open-source avec support communautaire.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identification-des-contraintes"/>
    <w:p>
      <w:pPr>
        <w:pStyle w:val="Heading2"/>
      </w:pPr>
      <w:r>
        <w:t xml:space="preserve">6. Identification des contraintes</w:t>
      </w:r>
    </w:p>
    <w:bookmarkStart w:id="43" w:name="contraintes-techniques"/>
    <w:p>
      <w:pPr>
        <w:pStyle w:val="Heading3"/>
      </w:pPr>
      <w:r>
        <w:t xml:space="preserve">6.1 Contraintes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C-TECH-01</w:t>
            </w:r>
          </w:p>
        </w:tc>
        <w:tc>
          <w:tcPr/>
          <w:p>
            <w:pPr>
              <w:pStyle w:val="Compact"/>
            </w:pPr>
            <w:r>
              <w:t xml:space="preserve">Multi-site (Lyon + Marseille) — pas de fibre dédiée inter-sites</w:t>
            </w:r>
          </w:p>
        </w:tc>
        <w:tc>
          <w:tcPr/>
          <w:p>
            <w:pPr>
              <w:pStyle w:val="Compact"/>
            </w:pPr>
            <w:r>
              <w:t xml:space="preserve">Nécessité d’un tunnel chiffré via Internet (IPsec)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C-TECH-02</w:t>
            </w:r>
          </w:p>
        </w:tc>
        <w:tc>
          <w:tcPr/>
          <w:p>
            <w:pPr>
              <w:pStyle w:val="Compact"/>
            </w:pPr>
            <w:r>
              <w:t xml:space="preserve">Hétérogénéité des accès distants (commerciaux remote)</w:t>
            </w:r>
          </w:p>
        </w:tc>
        <w:tc>
          <w:tcPr/>
          <w:p>
            <w:pPr>
              <w:pStyle w:val="Compact"/>
            </w:pPr>
            <w:r>
              <w:t xml:space="preserve">VPN nomade obligatoire (OpenVPN)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C-TECH-03</w:t>
            </w:r>
          </w:p>
        </w:tc>
        <w:tc>
          <w:tcPr/>
          <w:p>
            <w:pPr>
              <w:pStyle w:val="Compact"/>
            </w:pPr>
            <w:r>
              <w:t xml:space="preserve">Budget hardware limité</w:t>
            </w:r>
          </w:p>
        </w:tc>
        <w:tc>
          <w:tcPr/>
          <w:p>
            <w:pPr>
              <w:pStyle w:val="Compact"/>
            </w:pPr>
            <w:r>
              <w:t xml:space="preserve">Mutualisation via virtualisation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C-TECH-04</w:t>
            </w:r>
          </w:p>
        </w:tc>
        <w:tc>
          <w:tcPr/>
          <w:p>
            <w:pPr>
              <w:pStyle w:val="Compact"/>
            </w:pPr>
            <w:r>
              <w:t xml:space="preserve">Pas d’expertise interne sur les solutions propriétaires (VMware, Cisco)</w:t>
            </w:r>
          </w:p>
        </w:tc>
        <w:tc>
          <w:tcPr/>
          <w:p>
            <w:pPr>
              <w:pStyle w:val="Compact"/>
            </w:pPr>
            <w:r>
              <w:t xml:space="preserve">Stack open-source privilégiée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C-TECH-05</w:t>
            </w:r>
          </w:p>
        </w:tc>
        <w:tc>
          <w:tcPr/>
          <w:p>
            <w:pPr>
              <w:pStyle w:val="Compact"/>
            </w:pPr>
            <w:r>
              <w:t xml:space="preserve">Délai serré (4 jours pour la mission)</w:t>
            </w:r>
          </w:p>
        </w:tc>
        <w:tc>
          <w:tcPr/>
          <w:p>
            <w:pPr>
              <w:pStyle w:val="Compact"/>
            </w:pPr>
            <w:r>
              <w:t xml:space="preserve">Industrialisation IaC indispensable</w:t>
            </w:r>
          </w:p>
        </w:tc>
      </w:tr>
    </w:tbl>
    <w:bookmarkEnd w:id="43"/>
    <w:bookmarkStart w:id="44" w:name="contraintes-sécuritaires"/>
    <w:p>
      <w:pPr>
        <w:pStyle w:val="Heading3"/>
      </w:pPr>
      <w:r>
        <w:t xml:space="preserve">6.2 Contraintes sécuritaires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C-SEC-01</w:t>
            </w:r>
          </w:p>
        </w:tc>
        <w:tc>
          <w:tcPr/>
          <w:p>
            <w:pPr>
              <w:pStyle w:val="Compact"/>
            </w:pPr>
            <w:r>
              <w:t xml:space="preserve">Secteurs réglementés (médical/aéro/défense)</w:t>
            </w:r>
          </w:p>
        </w:tc>
        <w:tc>
          <w:tcPr/>
          <w:p>
            <w:pPr>
              <w:pStyle w:val="Compact"/>
            </w:pPr>
            <w:r>
              <w:t xml:space="preserve">Segmentation forte + journalisation centralisée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C-SEC-02</w:t>
            </w:r>
          </w:p>
        </w:tc>
        <w:tc>
          <w:tcPr/>
          <w:p>
            <w:pPr>
              <w:pStyle w:val="Compact"/>
            </w:pPr>
            <w: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Données personnelles isolées, chiffrement au repos et en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C-SEC-03</w:t>
            </w:r>
          </w:p>
        </w:tc>
        <w:tc>
          <w:tcPr/>
          <w:p>
            <w:pPr>
              <w:pStyle w:val="Compact"/>
            </w:pPr>
            <w:r>
              <w:t xml:space="preserve">Accès distant à des données classifiées</w:t>
            </w:r>
          </w:p>
        </w:tc>
        <w:tc>
          <w:tcPr/>
          <w:p>
            <w:pPr>
              <w:pStyle w:val="Compact"/>
            </w:pPr>
            <w:r>
              <w:t xml:space="preserve">Bastion + VPN + MFA recommandé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C-SEC-04</w:t>
            </w:r>
          </w:p>
        </w:tc>
        <w:tc>
          <w:tcPr/>
          <w:p>
            <w:pPr>
              <w:pStyle w:val="Compact"/>
            </w:pPr>
            <w:r>
              <w:t xml:space="preserve">Surface d’attaque réduite obligatoire</w:t>
            </w:r>
          </w:p>
        </w:tc>
        <w:tc>
          <w:tcPr/>
          <w:p>
            <w:pPr>
              <w:pStyle w:val="Compact"/>
            </w:pPr>
            <w:r>
              <w:t xml:space="preserve">DMZ stricte, egress filtré</w:t>
            </w:r>
          </w:p>
        </w:tc>
      </w:tr>
    </w:tbl>
    <w:bookmarkEnd w:id="44"/>
    <w:bookmarkStart w:id="45" w:name="contraintes-organisationnelles"/>
    <w:p>
      <w:pPr>
        <w:pStyle w:val="Heading3"/>
      </w:pPr>
      <w:r>
        <w:t xml:space="preserve">6.3 Contraintes organisationnelles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C-ORG-01</w:t>
            </w:r>
          </w:p>
        </w:tc>
        <w:tc>
          <w:tcPr/>
          <w:p>
            <w:pPr>
              <w:pStyle w:val="Compact"/>
            </w:pPr>
            <w:r>
              <w:t xml:space="preserve">Équipe IT interne réduite (2 ETP)</w:t>
            </w:r>
          </w:p>
        </w:tc>
        <w:tc>
          <w:tcPr/>
          <w:p>
            <w:pPr>
              <w:pStyle w:val="Compact"/>
            </w:pPr>
            <w:r>
              <w:t xml:space="preserve">Documentation exhaustive + automatisation maximale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C-ORG-02</w:t>
            </w:r>
          </w:p>
        </w:tc>
        <w:tc>
          <w:tcPr/>
          <w:p>
            <w:pPr>
              <w:pStyle w:val="Compact"/>
            </w:pPr>
            <w:r>
              <w:t xml:space="preserve">Direction non-technique</w:t>
            </w:r>
          </w:p>
        </w:tc>
        <w:tc>
          <w:tcPr/>
          <w:p>
            <w:pPr>
              <w:pStyle w:val="Compact"/>
            </w:pPr>
            <w:r>
              <w:t xml:space="preserve">Livrables avec restitution synthétique (slides)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C-ORG-03</w:t>
            </w:r>
          </w:p>
        </w:tc>
        <w:tc>
          <w:tcPr/>
          <w:p>
            <w:pPr>
              <w:pStyle w:val="Compact"/>
            </w:pPr>
            <w:r>
              <w:t xml:space="preserve">Croissance prévue +30 %/an</w:t>
            </w:r>
          </w:p>
        </w:tc>
        <w:tc>
          <w:tcPr/>
          <w:p>
            <w:pPr>
              <w:pStyle w:val="Compact"/>
            </w:pPr>
            <w:r>
              <w:t xml:space="preserve">Architecture évolutive sans refonte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C-ORG-04</w:t>
            </w:r>
          </w:p>
        </w:tc>
        <w:tc>
          <w:tcPr/>
          <w:p>
            <w:pPr>
              <w:pStyle w:val="Compact"/>
            </w:pPr>
            <w:r>
              <w:t xml:space="preserve">Reproductibilité du déploiement exigée</w:t>
            </w:r>
          </w:p>
        </w:tc>
        <w:tc>
          <w:tcPr/>
          <w:p>
            <w:pPr>
              <w:pStyle w:val="Compact"/>
            </w:pPr>
            <w:r>
              <w:t xml:space="preserve">Infrastructure-as-Code complète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priorisation-des-objectifs"/>
    <w:p>
      <w:pPr>
        <w:pStyle w:val="Heading2"/>
      </w:pPr>
      <w:r>
        <w:t xml:space="preserve">7. Priorisation des objectifs</w:t>
      </w:r>
    </w:p>
    <w:p>
      <w:pPr>
        <w:pStyle w:val="FirstParagraph"/>
      </w:pPr>
      <w:r>
        <w:t xml:space="preserve">La matrice ci-dessous priorise les objectifs selon la grille</w:t>
      </w:r>
      <w:r>
        <w:t xml:space="preserve"> </w:t>
      </w:r>
      <w:r>
        <w:rPr>
          <w:b/>
          <w:bCs/>
        </w:rPr>
        <w:t xml:space="preserve">Importance × Urgence</w:t>
      </w:r>
      <w:r>
        <w:t xml:space="preserve"> </w:t>
      </w:r>
      <w:r>
        <w:t xml:space="preserve">(Eisenhower).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800"/>
        <w:gridCol w:w="2160"/>
        <w:gridCol w:w="16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Urgence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Centralisation des identités (AD)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– À faire en premier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Firewall périmétrique + segmentation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– À faire en premier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Interconnexion sécurisée Lyon ↔ Marseille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– À faire en premier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Supervision continue (SIEM)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– À planifier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Sauvegardes automatisées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– À planifier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Accès distant commerciaux (VPN)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– À planifier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Portail web + base de données métier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– À planifier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Messagerie interne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– À déléguer/différer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Détection intrusion (IDS)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– À mettre en place ensuite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Honeypot (leurre attaquant)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– Optionnel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étude-des-solutions"/>
    <w:p>
      <w:pPr>
        <w:pStyle w:val="Heading2"/>
      </w:pPr>
      <w:r>
        <w:t xml:space="preserve">8. Étude des solutions</w:t>
      </w:r>
    </w:p>
    <w:bookmarkStart w:id="48" w:name="solutions-étudiées"/>
    <w:p>
      <w:pPr>
        <w:pStyle w:val="Heading3"/>
      </w:pPr>
      <w:r>
        <w:t xml:space="preserve">8.1 Solutions étudiées</w:t>
      </w:r>
    </w:p>
    <w:p>
      <w:pPr>
        <w:pStyle w:val="FirstParagraph"/>
      </w:pPr>
      <w:r>
        <w:t xml:space="preserve">Trois trajectoires ont été instruites pour répondre aux besoins exprimés :</w:t>
      </w:r>
    </w:p>
    <w:p>
      <w:pPr>
        <w:pStyle w:val="BodyText"/>
      </w:pPr>
      <w:r>
        <w:rPr>
          <w:b/>
          <w:bCs/>
        </w:rPr>
        <w:t xml:space="preserve">Solution A —</w:t>
      </w:r>
      <w:r>
        <w:rPr>
          <w:b/>
          <w:bCs/>
        </w:rPr>
        <w:t xml:space="preserve"> </w:t>
      </w:r>
      <w:r>
        <w:rPr>
          <w:b/>
          <w:bCs/>
        </w:rPr>
        <w:t xml:space="preserve">“Premium propriétaire”</w:t>
      </w:r>
      <w:r>
        <w:t xml:space="preserve"> </w:t>
      </w:r>
      <w:r>
        <w:t xml:space="preserve">Stack entièrement basée sur des éditeurs leaders (Microsoft, Cisco, Splunk, VMware).</w:t>
      </w:r>
      <w:r>
        <w:t xml:space="preserve"> </w:t>
      </w:r>
      <w:r>
        <w:t xml:space="preserve">→ Coût élevé, support 24/7 inclus, courbe d’apprentissage maîtrisée.</w:t>
      </w:r>
    </w:p>
    <w:p>
      <w:pPr>
        <w:pStyle w:val="BodyText"/>
      </w:pPr>
      <w:r>
        <w:rPr>
          <w:b/>
          <w:bCs/>
        </w:rPr>
        <w:t xml:space="preserve">Solution B —</w:t>
      </w:r>
      <w:r>
        <w:rPr>
          <w:b/>
          <w:bCs/>
        </w:rPr>
        <w:t xml:space="preserve"> </w:t>
      </w:r>
      <w:r>
        <w:rPr>
          <w:b/>
          <w:bCs/>
        </w:rPr>
        <w:t xml:space="preserve">“Open-source production-grade”</w:t>
      </w:r>
      <w:r>
        <w:rPr>
          <w:b/>
          <w:bCs/>
        </w:rPr>
        <w:t xml:space="preserve"> </w:t>
      </w:r>
      <w:r>
        <w:rPr>
          <w:b/>
          <w:bCs/>
        </w:rPr>
        <w:t xml:space="preserve">(RETENUE)</w:t>
      </w:r>
      <w:r>
        <w:t xml:space="preserve"> </w:t>
      </w:r>
      <w:r>
        <w:t xml:space="preserve">Stack open-source professionnelle (Proxmox, OPNsense, Samba, Wazuh).</w:t>
      </w:r>
      <w:r>
        <w:t xml:space="preserve"> </w:t>
      </w:r>
      <w:r>
        <w:t xml:space="preserve">→ Coût marginal, communauté active, contrôle total de la stack.</w:t>
      </w:r>
    </w:p>
    <w:p>
      <w:pPr>
        <w:pStyle w:val="BodyText"/>
      </w:pPr>
      <w:r>
        <w:rPr>
          <w:b/>
          <w:bCs/>
        </w:rPr>
        <w:t xml:space="preserve">Solution C —</w:t>
      </w:r>
      <w:r>
        <w:rPr>
          <w:b/>
          <w:bCs/>
        </w:rPr>
        <w:t xml:space="preserve"> </w:t>
      </w:r>
      <w:r>
        <w:rPr>
          <w:b/>
          <w:bCs/>
        </w:rPr>
        <w:t xml:space="preserve">“Cloud public AWS/Azure”</w:t>
      </w:r>
      <w:r>
        <w:t xml:space="preserve"> </w:t>
      </w:r>
      <w:r>
        <w:t xml:space="preserve">Migration intégrale vers un fournisseur cloud public.</w:t>
      </w:r>
      <w:r>
        <w:t xml:space="preserve"> </w:t>
      </w:r>
      <w:r>
        <w:t xml:space="preserve">→ OPEX élevé, dépendance fournisseur, problèmes de souveraineté pour la défense.</w:t>
      </w:r>
    </w:p>
    <w:bookmarkEnd w:id="48"/>
    <w:bookmarkStart w:id="49" w:name="comparatif-tco-sur-3-ans"/>
    <w:p>
      <w:pPr>
        <w:pStyle w:val="Heading3"/>
      </w:pPr>
      <w:r>
        <w:t xml:space="preserve">8.2 Comparatif TCO sur 3 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7"/>
        <w:gridCol w:w="2227"/>
        <w:gridCol w:w="288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Solution A — Propriétaire</w:t>
            </w:r>
          </w:p>
        </w:tc>
        <w:tc>
          <w:tcPr/>
          <w:p>
            <w:pPr>
              <w:pStyle w:val="Compact"/>
            </w:pPr>
            <w:r>
              <w:t xml:space="preserve">Solution B — Open-source (retenue)</w:t>
            </w:r>
          </w:p>
        </w:tc>
        <w:tc>
          <w:tcPr/>
          <w:p>
            <w:pPr>
              <w:pStyle w:val="Compact"/>
            </w:pPr>
            <w:r>
              <w:t xml:space="preserve">Solution C — Cloud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Hyperviseur</w:t>
            </w:r>
          </w:p>
        </w:tc>
        <w:tc>
          <w:tcPr/>
          <w:p>
            <w:pPr>
              <w:pStyle w:val="Compact"/>
            </w:pPr>
            <w:r>
              <w:t xml:space="preserve">VMware vSphere : 8 000 €</w:t>
            </w:r>
          </w:p>
        </w:tc>
        <w:tc>
          <w:tcPr/>
          <w:p>
            <w:pPr>
              <w:pStyle w:val="Compact"/>
            </w:pPr>
            <w:r>
              <w:t xml:space="preserve">Proxmox VE : 0 €</w:t>
            </w:r>
          </w:p>
        </w:tc>
        <w:tc>
          <w:tcPr/>
          <w:p>
            <w:pPr>
              <w:pStyle w:val="Compact"/>
            </w:pPr>
            <w:r>
              <w:t xml:space="preserve">AWS EC2 : 12 000 €/an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Fortinet 100F : 4 500 € + 5 400 € licences</w:t>
            </w:r>
          </w:p>
        </w:tc>
        <w:tc>
          <w:tcPr/>
          <w:p>
            <w:pPr>
              <w:pStyle w:val="Compact"/>
            </w:pPr>
            <w:r>
              <w:t xml:space="preserve">OPNsense : 0 €</w:t>
            </w:r>
          </w:p>
        </w:tc>
        <w:tc>
          <w:tcPr/>
          <w:p>
            <w:pPr>
              <w:pStyle w:val="Compact"/>
            </w:pPr>
            <w:r>
              <w:t xml:space="preserve">AWS Security Groups : inclus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Splunk Enterprise : 22 000 €/an</w:t>
            </w:r>
          </w:p>
        </w:tc>
        <w:tc>
          <w:tcPr/>
          <w:p>
            <w:pPr>
              <w:pStyle w:val="Compact"/>
            </w:pPr>
            <w:r>
              <w:t xml:space="preserve">Wazuh : 0 €</w:t>
            </w:r>
          </w:p>
        </w:tc>
        <w:tc>
          <w:tcPr/>
          <w:p>
            <w:pPr>
              <w:pStyle w:val="Compact"/>
            </w:pPr>
            <w:r>
              <w:t xml:space="preserve">AWS GuardDuty : 4 200 €/an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MS Defender P2 : 5 400 €/an</w:t>
            </w:r>
          </w:p>
        </w:tc>
        <w:tc>
          <w:tcPr/>
          <w:p>
            <w:pPr>
              <w:pStyle w:val="Compact"/>
            </w:pPr>
            <w:r>
              <w:t xml:space="preserve">inclus Wazuh</w:t>
            </w:r>
          </w:p>
        </w:tc>
        <w:tc>
          <w:tcPr/>
          <w:p>
            <w:pPr>
              <w:pStyle w:val="Compact"/>
            </w:pPr>
            <w:r>
              <w:t xml:space="preserve">MS Defender P2 : 5 400 €/an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Win Server + CAL : 8 000 € + 1 200 €/an</w:t>
            </w:r>
          </w:p>
        </w:tc>
        <w:tc>
          <w:tcPr/>
          <w:p>
            <w:pPr>
              <w:pStyle w:val="Compact"/>
            </w:pPr>
            <w:r>
              <w:t xml:space="preserve">Samba 4 : 0 €</w:t>
            </w:r>
          </w:p>
        </w:tc>
        <w:tc>
          <w:tcPr/>
          <w:p>
            <w:pPr>
              <w:pStyle w:val="Compact"/>
            </w:pPr>
            <w:r>
              <w:t xml:space="preserve">AWS Directory Service : 1 800 €/an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Veeam : 1 500 € + 600 €/an</w:t>
            </w:r>
          </w:p>
        </w:tc>
        <w:tc>
          <w:tcPr/>
          <w:p>
            <w:pPr>
              <w:pStyle w:val="Compact"/>
            </w:pPr>
            <w:r>
              <w:t xml:space="preserve">rsync + scripts : 0 €</w:t>
            </w:r>
          </w:p>
        </w:tc>
        <w:tc>
          <w:tcPr/>
          <w:p>
            <w:pPr>
              <w:pStyle w:val="Compact"/>
            </w:pPr>
            <w:r>
              <w:t xml:space="preserve">AWS Backup : 1 200 €/an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M365 Business Std : 6 480 €/an</w:t>
            </w:r>
          </w:p>
        </w:tc>
        <w:tc>
          <w:tcPr/>
          <w:p>
            <w:pPr>
              <w:pStyle w:val="Compact"/>
            </w:pPr>
            <w:r>
              <w:t xml:space="preserve">Postfix + Dovecot : 0 €</w:t>
            </w:r>
          </w:p>
        </w:tc>
        <w:tc>
          <w:tcPr/>
          <w:p>
            <w:pPr>
              <w:pStyle w:val="Compact"/>
            </w:pPr>
            <w:r>
              <w:t xml:space="preserve">M365 ou SES : 6 480 €/an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remote</w:t>
            </w:r>
          </w:p>
        </w:tc>
        <w:tc>
          <w:tcPr/>
          <w:p>
            <w:pPr>
              <w:pStyle w:val="Compact"/>
            </w:pPr>
            <w:r>
              <w:t xml:space="preserve">Cisco AnyConnect : 1 200 €/an</w:t>
            </w:r>
          </w:p>
        </w:tc>
        <w:tc>
          <w:tcPr/>
          <w:p>
            <w:pPr>
              <w:pStyle w:val="Compact"/>
            </w:pPr>
            <w:r>
              <w:t xml:space="preserve">OpenVPN : 0 €</w:t>
            </w:r>
          </w:p>
        </w:tc>
        <w:tc>
          <w:tcPr/>
          <w:p>
            <w:pPr>
              <w:pStyle w:val="Compact"/>
            </w:pPr>
            <w:r>
              <w:t xml:space="preserve">AWS Client VPN : 3 600 €/an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inclus Fortinet UTM</w:t>
            </w:r>
          </w:p>
        </w:tc>
        <w:tc>
          <w:tcPr/>
          <w:p>
            <w:pPr>
              <w:pStyle w:val="Compact"/>
            </w:pPr>
            <w:r>
              <w:t xml:space="preserve">Suricata : 0 €</w:t>
            </w:r>
          </w:p>
        </w:tc>
        <w:tc>
          <w:tcPr/>
          <w:p>
            <w:pPr>
              <w:pStyle w:val="Compact"/>
            </w:pPr>
            <w:r>
              <w:t xml:space="preserve">AWS GuardDuty : inclus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t xml:space="preserve">PRTG : 1 800 € + 360 €/an</w:t>
            </w:r>
          </w:p>
        </w:tc>
        <w:tc>
          <w:tcPr/>
          <w:p>
            <w:pPr>
              <w:pStyle w:val="Compact"/>
            </w:pPr>
            <w:r>
              <w:t xml:space="preserve">Wazuh : inclus</w:t>
            </w:r>
          </w:p>
        </w:tc>
        <w:tc>
          <w:tcPr/>
          <w:p>
            <w:pPr>
              <w:pStyle w:val="Compact"/>
            </w:pPr>
            <w:r>
              <w:t xml:space="preserve">CloudWatch : 600 €/an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lab</w:t>
            </w:r>
          </w:p>
        </w:tc>
        <w:tc>
          <w:tcPr/>
          <w:p>
            <w:pPr>
              <w:pStyle w:val="Compact"/>
            </w:pPr>
            <w:r>
              <w:t xml:space="preserve">1 PC tour 32 GB : 1 200 €</w:t>
            </w:r>
          </w:p>
        </w:tc>
        <w:tc>
          <w:tcPr/>
          <w:p>
            <w:pPr>
              <w:pStyle w:val="Compact"/>
            </w:pPr>
            <w:r>
              <w:t xml:space="preserve">1 PC tour 32 GB : 1 200 €</w:t>
            </w:r>
          </w:p>
        </w:tc>
        <w:tc>
          <w:tcPr/>
          <w:p>
            <w:pPr>
              <w:pStyle w:val="Compact"/>
            </w:pPr>
            <w:r>
              <w:t xml:space="preserve">0 € (cloud)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homme déploiement (1 ETP × 1 mois)</w:t>
            </w:r>
          </w:p>
        </w:tc>
        <w:tc>
          <w:tcPr/>
          <w:p>
            <w:pPr>
              <w:pStyle w:val="Compact"/>
            </w:pPr>
            <w:r>
              <w:t xml:space="preserve">4 500 €</w:t>
            </w:r>
          </w:p>
        </w:tc>
        <w:tc>
          <w:tcPr/>
          <w:p>
            <w:pPr>
              <w:pStyle w:val="Compact"/>
            </w:pPr>
            <w:r>
              <w:t xml:space="preserve">4 500 €</w:t>
            </w:r>
          </w:p>
        </w:tc>
        <w:tc>
          <w:tcPr/>
          <w:p>
            <w:pPr>
              <w:pStyle w:val="Compact"/>
            </w:pPr>
            <w:r>
              <w:t xml:space="preserve">4 500 €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23 200 €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1 200 €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OPEX 3 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109 720 €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122 700 €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 3 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132 920 €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14 700 €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122 700 €</w:t>
            </w:r>
          </w:p>
        </w:tc>
      </w:tr>
    </w:tbl>
    <w:bookmarkEnd w:id="49"/>
    <w:bookmarkStart w:id="50" w:name="justification-du-choix-solution-b"/>
    <w:p>
      <w:pPr>
        <w:pStyle w:val="Heading3"/>
      </w:pPr>
      <w:r>
        <w:t xml:space="preserve">8.3 Justification du choix — Solution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1728"/>
        <w:gridCol w:w="3168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Solution A</w:t>
            </w:r>
          </w:p>
        </w:tc>
        <w:tc>
          <w:tcPr/>
          <w:p>
            <w:pPr>
              <w:pStyle w:val="Compact"/>
            </w:pPr>
            <w:r>
              <w:t xml:space="preserve">Solution B (RETENUE)</w:t>
            </w:r>
          </w:p>
        </w:tc>
        <w:tc>
          <w:tcPr/>
          <w:p>
            <w:pPr>
              <w:pStyle w:val="Compact"/>
            </w:pPr>
            <w:r>
              <w:t xml:space="preserve">Solution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TCO 3 ans</w:t>
            </w:r>
          </w:p>
        </w:tc>
        <w:tc>
          <w:tcPr/>
          <w:p>
            <w:pPr>
              <w:pStyle w:val="Compact"/>
            </w:pPr>
            <w:r>
              <w:t xml:space="preserve">132 920 €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14 700 €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122 700 €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au budget client (20 000 €)</w:t>
            </w:r>
          </w:p>
        </w:tc>
        <w:tc>
          <w:tcPr/>
          <w:p>
            <w:pPr>
              <w:pStyle w:val="Compact"/>
            </w:pPr>
            <w:r>
              <w:t xml:space="preserve">❌ Dépassement</w:t>
            </w:r>
          </w:p>
        </w:tc>
        <w:tc>
          <w:tcPr/>
          <w:p>
            <w:pPr>
              <w:pStyle w:val="Compact"/>
            </w:pPr>
            <w:r>
              <w:t xml:space="preserve">✅ Respect</w:t>
            </w:r>
          </w:p>
        </w:tc>
        <w:tc>
          <w:tcPr/>
          <w:p>
            <w:pPr>
              <w:pStyle w:val="Compact"/>
            </w:pPr>
            <w:r>
              <w:t xml:space="preserve">❌ Dépassement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Souveraineté technologique</w:t>
            </w:r>
          </w:p>
        </w:tc>
        <w:tc>
          <w:tcPr/>
          <w:p>
            <w:pPr>
              <w:pStyle w:val="Compact"/>
            </w:pPr>
            <w:r>
              <w:t xml:space="preserve">❌ US-centric</w:t>
            </w:r>
          </w:p>
        </w:tc>
        <w:tc>
          <w:tcPr/>
          <w:p>
            <w:pPr>
              <w:pStyle w:val="Compact"/>
            </w:pPr>
            <w:r>
              <w:t xml:space="preserve">✅ Open-source</w:t>
            </w:r>
          </w:p>
        </w:tc>
        <w:tc>
          <w:tcPr/>
          <w:p>
            <w:pPr>
              <w:pStyle w:val="Compact"/>
            </w:pPr>
            <w:r>
              <w:t xml:space="preserve">❌ Hébergement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 (IaC)</w:t>
            </w:r>
          </w:p>
        </w:tc>
        <w:tc>
          <w:tcPr/>
          <w:p>
            <w:pPr>
              <w:pStyle w:val="Compact"/>
            </w:pPr>
            <w:r>
              <w:t xml:space="preserve">⚠️ Partielle</w:t>
            </w:r>
          </w:p>
        </w:tc>
        <w:tc>
          <w:tcPr/>
          <w:p>
            <w:pPr>
              <w:pStyle w:val="Compact"/>
            </w:pPr>
            <w:r>
              <w:t xml:space="preserve">✅ Totale</w:t>
            </w:r>
          </w:p>
        </w:tc>
        <w:tc>
          <w:tcPr/>
          <w:p>
            <w:pPr>
              <w:pStyle w:val="Compact"/>
            </w:pPr>
            <w:r>
              <w:t xml:space="preserve">✅ Native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Capacité d’apprentissage interne</w:t>
            </w:r>
          </w:p>
        </w:tc>
        <w:tc>
          <w:tcPr/>
          <w:p>
            <w:pPr>
              <w:pStyle w:val="Compact"/>
            </w:pPr>
            <w:r>
              <w:t xml:space="preserve">⚠️ Licences requises</w:t>
            </w:r>
          </w:p>
        </w:tc>
        <w:tc>
          <w:tcPr/>
          <w:p>
            <w:pPr>
              <w:pStyle w:val="Compact"/>
            </w:pPr>
            <w:r>
              <w:t xml:space="preserve">✅ Communauté libre</w:t>
            </w:r>
          </w:p>
        </w:tc>
        <w:tc>
          <w:tcPr/>
          <w:p>
            <w:pPr>
              <w:pStyle w:val="Compact"/>
            </w:pPr>
            <w:r>
              <w:t xml:space="preserve">⚠️ Compétences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défense / classifié</w:t>
            </w:r>
          </w:p>
        </w:tc>
        <w:tc>
          <w:tcPr/>
          <w:p>
            <w:pPr>
              <w:pStyle w:val="Compact"/>
            </w:pPr>
            <w:r>
              <w:t xml:space="preserve">⚠️ Variable</w:t>
            </w:r>
          </w:p>
        </w:tc>
        <w:tc>
          <w:tcPr/>
          <w:p>
            <w:pPr>
              <w:pStyle w:val="Compact"/>
            </w:pPr>
            <w:r>
              <w:t xml:space="preserve">✅ Stack maîtrisée</w:t>
            </w:r>
          </w:p>
        </w:tc>
        <w:tc>
          <w:tcPr/>
          <w:p>
            <w:pPr>
              <w:pStyle w:val="Compact"/>
            </w:pPr>
            <w:r>
              <w:t xml:space="preserve">❌ Hébergement extérieur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24/7</w:t>
            </w:r>
          </w:p>
        </w:tc>
        <w:tc>
          <w:tcPr/>
          <w:p>
            <w:pPr>
              <w:pStyle w:val="Compact"/>
            </w:pPr>
            <w:r>
              <w:t xml:space="preserve">✅ Inclus</w:t>
            </w:r>
          </w:p>
        </w:tc>
        <w:tc>
          <w:tcPr/>
          <w:p>
            <w:pPr>
              <w:pStyle w:val="Compact"/>
            </w:pPr>
            <w:r>
              <w:t xml:space="preserve">⚠️ Communautaire</w:t>
            </w:r>
          </w:p>
        </w:tc>
        <w:tc>
          <w:tcPr/>
          <w:p>
            <w:pPr>
              <w:pStyle w:val="Compact"/>
            </w:pPr>
            <w:r>
              <w:t xml:space="preserve">✅ Cloud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Indépendance vis-à-vis d’un fournisseur unique</w:t>
            </w:r>
          </w:p>
        </w:tc>
        <w:tc>
          <w:tcPr/>
          <w:p>
            <w:pPr>
              <w:pStyle w:val="Compact"/>
            </w:pPr>
            <w:r>
              <w:t xml:space="preserve">❌ Lock-in</w:t>
            </w:r>
          </w:p>
        </w:tc>
        <w:tc>
          <w:tcPr/>
          <w:p>
            <w:pPr>
              <w:pStyle w:val="Compact"/>
            </w:pPr>
            <w:r>
              <w:t xml:space="preserve">✅ Aucun lock-in</w:t>
            </w:r>
          </w:p>
        </w:tc>
        <w:tc>
          <w:tcPr/>
          <w:p>
            <w:pPr>
              <w:pStyle w:val="Compact"/>
            </w:pPr>
            <w:r>
              <w:t xml:space="preserve">❌ Lock-in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global</w:t>
            </w:r>
          </w:p>
        </w:tc>
        <w:tc>
          <w:tcPr/>
          <w:p>
            <w:pPr>
              <w:pStyle w:val="Compact"/>
            </w:pPr>
            <w:r>
              <w:t xml:space="preserve">4/8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7/8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4/8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</w:t>
      </w:r>
      <w:r>
        <w:t xml:space="preserve"> </w:t>
      </w:r>
      <w:r>
        <w:t xml:space="preserve">: la Solution B est retenue car elle satisfait toutes les contraintes (budget, souveraineté, reproductibilité, conformité sectorielle) avec une économie de</w:t>
      </w:r>
      <w:r>
        <w:t xml:space="preserve"> </w:t>
      </w:r>
      <w:r>
        <w:rPr>
          <w:b/>
          <w:bCs/>
        </w:rPr>
        <w:t xml:space="preserve">118 220 € sur 3 ans</w:t>
      </w:r>
      <w:r>
        <w:t xml:space="preserve"> </w:t>
      </w:r>
      <w:r>
        <w:t xml:space="preserve">par rapport à la Solution A.</w:t>
      </w:r>
    </w:p>
    <w:p>
      <w:pPr>
        <w:pStyle w:val="BodyText"/>
      </w:pPr>
      <w:r>
        <w:rPr>
          <w:b/>
          <w:bCs/>
        </w:rPr>
        <w:t xml:space="preserve">Tradeoffs assumés</w:t>
      </w:r>
      <w:r>
        <w:t xml:space="preserve"> </w:t>
      </w:r>
      <w:r>
        <w:t xml:space="preserve">:</w:t>
      </w:r>
      <w:r>
        <w:t xml:space="preserve"> </w:t>
      </w:r>
      <w:r>
        <w:t xml:space="preserve">- Pas de support contractuel 24/7 (mitigé par la documentation exhaustive et la formation de l’équipe interne).</w:t>
      </w:r>
      <w:r>
        <w:t xml:space="preserve"> </w:t>
      </w:r>
      <w:r>
        <w:t xml:space="preserve">- Courbe d’apprentissage initiale (mitigée par la stack standardisée et la livraison clé en main).</w:t>
      </w:r>
      <w:r>
        <w:t xml:space="preserve"> </w:t>
      </w:r>
      <w:r>
        <w:t xml:space="preserve">- Responsabilité du suivi sécuritaire interne (mitigée par Wazuh et automatisation des correctifs).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rchitecture-proposée-vue-densemble"/>
    <w:p>
      <w:pPr>
        <w:pStyle w:val="Heading2"/>
      </w:pPr>
      <w:r>
        <w:t xml:space="preserve">9. Architecture proposée — Vue d’ensemble</w:t>
      </w:r>
    </w:p>
    <w:bookmarkStart w:id="52" w:name="topologie-cible"/>
    <w:p>
      <w:pPr>
        <w:pStyle w:val="Heading3"/>
      </w:pPr>
      <w:r>
        <w:t xml:space="preserve">9.1 Topologie cible</w:t>
      </w:r>
    </w:p>
    <w:p>
      <w:pPr>
        <w:pStyle w:val="SourceCode"/>
      </w:pPr>
      <w:r>
        <w:rPr>
          <w:rStyle w:val="VerbatimChar"/>
        </w:rPr>
        <w:t xml:space="preserve">                                Internet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│       OPNsense Lyon      │ ◄─ IPsec IKEv2 AES-256 ─► OPNsense Marseille</w:t>
      </w:r>
      <w:r>
        <w:br/>
      </w:r>
      <w:r>
        <w:rPr>
          <w:rStyle w:val="VerbatimChar"/>
        </w:rPr>
        <w:t xml:space="preserve">                       │  (Hub firewall · IDS)   │                            (Spoke firewall)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└────────────┬────────────┘                                      │</w:t>
      </w:r>
      <w:r>
        <w:br/>
      </w:r>
      <w:r>
        <w:rPr>
          <w:rStyle w:val="VerbatimChar"/>
        </w:rPr>
        <w:t xml:space="preserve">                                    │  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┌──────────────────────────┼──────────────────────────┐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        │                          │                          │                      │</w:t>
      </w:r>
      <w:r>
        <w:br/>
      </w:r>
      <w:r>
        <w:rPr>
          <w:rStyle w:val="VerbatimChar"/>
        </w:rPr>
        <w:t xml:space="preserve">   ┌────┴────┐              ┌──────┴──────┐           ┌───────┴───────┐         ┌────┴────┐</w:t>
      </w:r>
      <w:r>
        <w:br/>
      </w:r>
      <w:r>
        <w:rPr>
          <w:rStyle w:val="VerbatimChar"/>
        </w:rPr>
        <w:t xml:space="preserve">   │   DMZ   │              │   SERVERS   │           │     MGMT      │         │  LAN    │</w:t>
      </w:r>
      <w:r>
        <w:br/>
      </w:r>
      <w:r>
        <w:rPr>
          <w:rStyle w:val="VerbatimChar"/>
        </w:rPr>
        <w:t xml:space="preserve">   │ VLAN 5  │              │  VLAN 10    │           │   vmbr2 isolé │         │ Marseille│</w:t>
      </w:r>
      <w:r>
        <w:br/>
      </w:r>
      <w:r>
        <w:rPr>
          <w:rStyle w:val="VerbatimChar"/>
        </w:rPr>
        <w:t xml:space="preserve">   │         │              │             │           │               │         │  VLAN 50│</w:t>
      </w:r>
      <w:r>
        <w:br/>
      </w:r>
      <w:r>
        <w:rPr>
          <w:rStyle w:val="VerbatimChar"/>
        </w:rPr>
        <w:t xml:space="preserve">   │ Web-01  │              │ DC01 (AD)   │           │  Bastion-01   │         │ DNS-Mar │</w:t>
      </w:r>
      <w:r>
        <w:br/>
      </w:r>
      <w:r>
        <w:rPr>
          <w:rStyle w:val="VerbatimChar"/>
        </w:rPr>
        <w:t xml:space="preserve">   │ Proxy   │              │ Wazuh SIEM  │           │  (SSH jump)   │         │         │</w:t>
      </w:r>
      <w:r>
        <w:br/>
      </w:r>
      <w:r>
        <w:rPr>
          <w:rStyle w:val="VerbatimChar"/>
        </w:rPr>
        <w:t xml:space="preserve">   │ Mail    │              │ DB-01       │           │               │         │ RODC-01 │</w:t>
      </w:r>
      <w:r>
        <w:br/>
      </w:r>
      <w:r>
        <w:rPr>
          <w:rStyle w:val="VerbatimChar"/>
        </w:rPr>
        <w:t xml:space="preserve">   │ Honeypot│              │ File-01     │           │               │         │  (bonus)│</w:t>
      </w:r>
      <w:r>
        <w:br/>
      </w:r>
      <w:r>
        <w:rPr>
          <w:rStyle w:val="VerbatimChar"/>
        </w:rPr>
        <w:t xml:space="preserve">   └─────────┘              │ Backup-01   │           └───────────────┘         └─────────┘</w:t>
      </w:r>
      <w:r>
        <w:br/>
      </w:r>
      <w:r>
        <w:rPr>
          <w:rStyle w:val="VerbatimChar"/>
        </w:rPr>
        <w:t xml:space="preserve">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Collecte logs vmbr5</w:t>
      </w:r>
      <w:r>
        <w:br/>
      </w:r>
      <w:r>
        <w:rPr>
          <w:rStyle w:val="VerbatimChar"/>
        </w:rPr>
        <w:t xml:space="preserve">                            (Wazuh eth1)</w:t>
      </w:r>
    </w:p>
    <w:bookmarkEnd w:id="52"/>
    <w:bookmarkStart w:id="53" w:name="caractéristiques-principales"/>
    <w:p>
      <w:pPr>
        <w:pStyle w:val="Heading3"/>
      </w:pPr>
      <w:r>
        <w:t xml:space="preserve">9.2 Caractéristiques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Hyperviseur</w:t>
            </w:r>
          </w:p>
        </w:tc>
        <w:tc>
          <w:tcPr/>
          <w:p>
            <w:pPr>
              <w:pStyle w:val="Compact"/>
            </w:pPr>
            <w:r>
              <w:t xml:space="preserve">Proxmox VE 9.1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réseau</w:t>
            </w:r>
          </w:p>
        </w:tc>
        <w:tc>
          <w:tcPr/>
          <w:p>
            <w:pPr>
              <w:pStyle w:val="Compact"/>
            </w:pPr>
            <w:r>
              <w:t xml:space="preserve">Linux Bridge (VLAN-aware sur vmbr1/vmbr3)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Pare-feu</w:t>
            </w:r>
          </w:p>
        </w:tc>
        <w:tc>
          <w:tcPr/>
          <w:p>
            <w:pPr>
              <w:pStyle w:val="Compact"/>
            </w:pPr>
            <w:r>
              <w:t xml:space="preserve">OPNsense 26.x</w:t>
            </w:r>
          </w:p>
        </w:tc>
        <w:tc>
          <w:tcPr/>
          <w:p>
            <w:pPr>
              <w:pStyle w:val="Compact"/>
            </w:pPr>
            <w:r>
              <w:t xml:space="preserve">2 (Lyon + Marseille)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VLANs</w:t>
            </w:r>
          </w:p>
        </w:tc>
        <w:tc>
          <w:tcPr/>
          <w:p>
            <w:pPr>
              <w:pStyle w:val="Compact"/>
            </w:pPr>
            <w:r>
              <w:t xml:space="preserve">Segmentation logique L2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VMs Linux</w:t>
            </w:r>
          </w:p>
        </w:tc>
        <w:tc>
          <w:tcPr/>
          <w:p>
            <w:pPr>
              <w:pStyle w:val="Compact"/>
            </w:pPr>
            <w:r>
              <w:t xml:space="preserve">Debian 12 cloud-init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inter-sites</w:t>
            </w:r>
          </w:p>
        </w:tc>
        <w:tc>
          <w:tcPr/>
          <w:p>
            <w:pPr>
              <w:pStyle w:val="Compact"/>
            </w:pPr>
            <w:r>
              <w:t xml:space="preserve">IPsec IKEv2 AES-256 SHA-512 PFS G20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Annuaire</w:t>
            </w:r>
          </w:p>
        </w:tc>
        <w:tc>
          <w:tcPr/>
          <w:p>
            <w:pPr>
              <w:pStyle w:val="Compact"/>
            </w:pPr>
            <w:r>
              <w:t xml:space="preserve">Samba 4 Active Directory</w:t>
            </w:r>
          </w:p>
        </w:tc>
        <w:tc>
          <w:tcPr/>
          <w:p>
            <w:pPr>
              <w:pStyle w:val="Compact"/>
            </w:pPr>
            <w:r>
              <w:t xml:space="preserve">1 (+ RODC 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Wazuh 4.x (Manager + Indexer + Dashboard)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</w:t>
            </w:r>
          </w:p>
        </w:tc>
        <w:tc>
          <w:tcPr/>
          <w:p>
            <w:pPr>
              <w:pStyle w:val="Compact"/>
            </w:pPr>
            <w:r>
              <w:t xml:space="preserve">Linux Debian + SSH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3"/>
    <w:bookmarkStart w:id="54" w:name="principes-architecturaux-appliqués"/>
    <w:p>
      <w:pPr>
        <w:pStyle w:val="Heading3"/>
      </w:pPr>
      <w:r>
        <w:t xml:space="preserve">9.3 Principes architecturaux appliqués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Defense in Depth</w:t>
      </w:r>
      <w:r>
        <w:t xml:space="preserve"> </w:t>
      </w:r>
      <w:r>
        <w:t xml:space="preserve">: 4 niveaux de filtrage (périmètre, inter-VLAN, hôte, application).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Deny-by-Default</w:t>
      </w:r>
      <w:r>
        <w:t xml:space="preserve"> </w:t>
      </w:r>
      <w:r>
        <w:t xml:space="preserve">: aucune règle</w:t>
      </w:r>
      <w:r>
        <w:t xml:space="preserve"> </w:t>
      </w:r>
      <w:r>
        <w:t xml:space="preserve">“allow any”</w:t>
      </w:r>
      <w:r>
        <w:t xml:space="preserve">, chaque flux explicitement autorisé.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Least Privilege</w:t>
      </w:r>
      <w:r>
        <w:t xml:space="preserve"> </w:t>
      </w:r>
      <w:r>
        <w:t xml:space="preserve">: segmentation par fonction (DMZ ≠ SERVERS ≠ MGMT).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Segmentation</w:t>
      </w:r>
      <w:r>
        <w:t xml:space="preserve"> </w:t>
      </w:r>
      <w:r>
        <w:t xml:space="preserve">: 5 VLANs + bridges physiquement isolés (vmbr2 MGMT, vmbr4 Quarantaine).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Zero Trust</w:t>
      </w:r>
      <w:r>
        <w:t xml:space="preserve"> </w:t>
      </w:r>
      <w:r>
        <w:t xml:space="preserve">: authentification systématique, même intra-réseau.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Hub &amp; Spoke</w:t>
      </w:r>
      <w:r>
        <w:t xml:space="preserve"> </w:t>
      </w:r>
      <w:r>
        <w:t xml:space="preserve">: Lyon = point d’entrée unique, Marseille transite via Lyon.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Isolation forte</w:t>
      </w:r>
      <w:r>
        <w:t xml:space="preserve"> </w:t>
      </w:r>
      <w:r>
        <w:t xml:space="preserve">: Bastion sur bridge dédié, pas de VLAN-hopping possible.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Infrastructure-as-Code</w:t>
      </w:r>
      <w:r>
        <w:t xml:space="preserve"> </w:t>
      </w:r>
      <w:r>
        <w:t xml:space="preserve">: Terraform + Cloud-Init + scripts CLI versionnés Git.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lan-dexécution-prévisionnel"/>
    <w:p>
      <w:pPr>
        <w:pStyle w:val="Heading2"/>
      </w:pPr>
      <w:r>
        <w:t xml:space="preserve">10. Plan d’exécution prévisionnel</w:t>
      </w:r>
    </w:p>
    <w:bookmarkStart w:id="56" w:name="planning-macro"/>
    <w:p>
      <w:pPr>
        <w:pStyle w:val="Heading3"/>
      </w:pPr>
      <w:r>
        <w:t xml:space="preserve">10.1 Planning macro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Activité</w:t>
            </w:r>
          </w:p>
        </w:tc>
        <w:tc>
          <w:tcPr/>
          <w:p>
            <w:pPr>
              <w:pStyle w:val="Compact"/>
            </w:pPr>
            <w:r>
              <w:t xml:space="preserve">Livrable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Phase II – Conception : déploiement Proxmox, Terraform, VMs Debian, OPNsense Lyon</w:t>
            </w:r>
          </w:p>
        </w:tc>
        <w:tc>
          <w:tcPr/>
          <w:p>
            <w:pPr>
              <w:pStyle w:val="Compact"/>
            </w:pPr>
            <w:r>
              <w:t xml:space="preserve">Infrastructure de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Phase II – Conception : OPNsense Marseille, IPsec, AD Samba, Wazuh, Web, DB</w:t>
            </w:r>
          </w:p>
        </w:tc>
        <w:tc>
          <w:tcPr/>
          <w:p>
            <w:pPr>
              <w:pStyle w:val="Compact"/>
            </w:pPr>
            <w:r>
              <w:t xml:space="preserve">Services métier opérationnels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Phase II – Conception : Mail, File, Backup, OpenVPN</w:t>
            </w:r>
          </w:p>
        </w:tc>
        <w:tc>
          <w:tcPr/>
          <w:p>
            <w:pPr>
              <w:pStyle w:val="Compact"/>
            </w:pPr>
            <w:r>
              <w:t xml:space="preserve">Services complémentaires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Phase III – Amélioration : Sécurité avancée, tests, PCA/PRA, documentation</w:t>
            </w:r>
          </w:p>
        </w:tc>
        <w:tc>
          <w:tcPr/>
          <w:p>
            <w:pPr>
              <w:pStyle w:val="Compact"/>
            </w:pPr>
            <w:r>
              <w:t xml:space="preserve">Livrables finaux</w:t>
            </w:r>
          </w:p>
        </w:tc>
      </w:tr>
    </w:tbl>
    <w:bookmarkEnd w:id="56"/>
    <w:bookmarkStart w:id="57" w:name="allocation-des-ressources"/>
    <w:p>
      <w:pPr>
        <w:pStyle w:val="Heading3"/>
      </w:pPr>
      <w:r>
        <w:t xml:space="preserve">10.2 Allocation des ressources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Hardware</w:t>
      </w:r>
      <w:r>
        <w:t xml:space="preserve"> </w:t>
      </w:r>
      <w:r>
        <w:t xml:space="preserve">: 1 PC bureautique 32 GB RAM avec virtualisation imbriquée.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Logiciel</w:t>
      </w:r>
      <w:r>
        <w:t xml:space="preserve"> </w:t>
      </w:r>
      <w:r>
        <w:t xml:space="preserve">: 100 % open-source (zéro licence à acquérir).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Humain</w:t>
      </w:r>
      <w:r>
        <w:t xml:space="preserve"> </w:t>
      </w:r>
      <w:r>
        <w:t xml:space="preserve">: 1 ETP (mission consulting).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: rédigée en parallèle de la build pour garantir l’exhaustivité.</w:t>
      </w:r>
    </w:p>
    <w:bookmarkEnd w:id="57"/>
    <w:bookmarkStart w:id="58" w:name="jalons-et-points-de-contrôle"/>
    <w:p>
      <w:pPr>
        <w:pStyle w:val="Heading3"/>
      </w:pPr>
      <w:r>
        <w:t xml:space="preserve">10.3 Jalons et points de contrôle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5137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Jalon</w:t>
            </w:r>
          </w:p>
        </w:tc>
        <w:tc>
          <w:tcPr/>
          <w:p>
            <w:pPr>
              <w:pStyle w:val="Compact"/>
            </w:pPr>
            <w:r>
              <w:t xml:space="preserve">Critère de validation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 — Fin de journée</w:t>
            </w:r>
          </w:p>
        </w:tc>
        <w:tc>
          <w:tcPr/>
          <w:p>
            <w:pPr>
              <w:pStyle w:val="Compact"/>
            </w:pPr>
            <w:r>
              <w:t xml:space="preserve">OPNsense Lyon up + 10 VMs Debian configurées (Cloud-Init)</w:t>
            </w:r>
          </w:p>
        </w:tc>
        <w:tc>
          <w:tcPr/>
          <w:p>
            <w:pPr>
              <w:pStyle w:val="Compact"/>
            </w:pPr>
            <w:r>
              <w:t xml:space="preserve">J1 17h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— Fin de journée</w:t>
            </w:r>
          </w:p>
        </w:tc>
        <w:tc>
          <w:tcPr/>
          <w:p>
            <w:pPr>
              <w:pStyle w:val="Compact"/>
            </w:pPr>
            <w:r>
              <w:t xml:space="preserve">AD opérationnel + Wazuh dashboard avec agents + web accessible</w:t>
            </w:r>
          </w:p>
        </w:tc>
        <w:tc>
          <w:tcPr/>
          <w:p>
            <w:pPr>
              <w:pStyle w:val="Compact"/>
            </w:pPr>
            <w:r>
              <w:t xml:space="preserve">J2 17h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 — Fin de journée</w:t>
            </w:r>
          </w:p>
        </w:tc>
        <w:tc>
          <w:tcPr/>
          <w:p>
            <w:pPr>
              <w:pStyle w:val="Compact"/>
            </w:pPr>
            <w:r>
              <w:t xml:space="preserve">Mail SMTP/IMAP + Nextcloud + Backup automatisé + VPN testé</w:t>
            </w:r>
          </w:p>
        </w:tc>
        <w:tc>
          <w:tcPr/>
          <w:p>
            <w:pPr>
              <w:pStyle w:val="Compact"/>
            </w:pPr>
            <w:r>
              <w:t xml:space="preserve">J3 17h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 — Fin de mission</w:t>
            </w:r>
          </w:p>
        </w:tc>
        <w:tc>
          <w:tcPr/>
          <w:p>
            <w:pPr>
              <w:pStyle w:val="Compact"/>
            </w:pPr>
            <w:r>
              <w:t xml:space="preserve">Tous livrables documentaires remis</w:t>
            </w:r>
          </w:p>
        </w:tc>
        <w:tc>
          <w:tcPr/>
          <w:p>
            <w:pPr>
              <w:pStyle w:val="Compact"/>
            </w:pPr>
            <w:r>
              <w:t xml:space="preserve">J4 17h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synthèse-et-engagement"/>
    <w:p>
      <w:pPr>
        <w:pStyle w:val="Heading2"/>
      </w:pPr>
      <w:r>
        <w:t xml:space="preserve">11. Synthèse et engagement</w:t>
      </w:r>
    </w:p>
    <w:bookmarkStart w:id="60" w:name="engagement-de-notre-cabinet"/>
    <w:p>
      <w:pPr>
        <w:pStyle w:val="Heading3"/>
      </w:pPr>
      <w:r>
        <w:t xml:space="preserve">11.1 Engagement de notre cabinet</w:t>
      </w:r>
    </w:p>
    <w:p>
      <w:pPr>
        <w:pStyle w:val="FirstParagraph"/>
      </w:pPr>
      <w:r>
        <w:t xml:space="preserve">À l’issue de cette mission, nous nous engageons à livrer au client Nova Syndicate :</w:t>
      </w:r>
    </w:p>
    <w:p>
      <w:pPr>
        <w:pStyle w:val="Compact"/>
        <w:numPr>
          <w:ilvl w:val="0"/>
          <w:numId w:val="101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infrastructure pleinement opérationnelle</w:t>
      </w:r>
      <w:r>
        <w:t xml:space="preserve"> </w:t>
      </w:r>
      <w:r>
        <w:t xml:space="preserve">conforme à l’architecture cible décrite.</w:t>
      </w:r>
    </w:p>
    <w:p>
      <w:pPr>
        <w:pStyle w:val="Compact"/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dossier de spécifications techniques</w:t>
      </w:r>
      <w:r>
        <w:t xml:space="preserve"> </w:t>
      </w:r>
      <w:r>
        <w:t xml:space="preserve">détaillant les choix et les configurations.</w:t>
      </w:r>
    </w:p>
    <w:p>
      <w:pPr>
        <w:pStyle w:val="Compact"/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plan de continuité d’activité (PCA)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plan de reprise après sinistre (PRA)</w:t>
      </w:r>
      <w:r>
        <w:t xml:space="preserve"> </w:t>
      </w:r>
      <w:r>
        <w:t xml:space="preserve">adaptés au contexte.</w:t>
      </w:r>
    </w:p>
    <w:p>
      <w:pPr>
        <w:pStyle w:val="Compact"/>
        <w:numPr>
          <w:ilvl w:val="0"/>
          <w:numId w:val="101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documentation d’exploitation</w:t>
      </w:r>
      <w:r>
        <w:t xml:space="preserve"> </w:t>
      </w:r>
      <w:r>
        <w:t xml:space="preserve">permettant à l’équipe interne du client de reprendre la main.</w:t>
      </w:r>
    </w:p>
    <w:p>
      <w:pPr>
        <w:pStyle w:val="Compact"/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ensemble de scripts d’automatisation</w:t>
      </w:r>
      <w:r>
        <w:t xml:space="preserve"> </w:t>
      </w:r>
      <w:r>
        <w:t xml:space="preserve">réduisant la charge opérationnelle récurrente.</w:t>
      </w:r>
    </w:p>
    <w:p>
      <w:pPr>
        <w:pStyle w:val="Compact"/>
        <w:numPr>
          <w:ilvl w:val="0"/>
          <w:numId w:val="101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rapport de tests d’intrusion</w:t>
      </w:r>
      <w:r>
        <w:t xml:space="preserve"> </w:t>
      </w:r>
      <w:r>
        <w:t xml:space="preserve">validant le niveau de sécurité atteint.</w:t>
      </w:r>
    </w:p>
    <w:bookmarkEnd w:id="60"/>
    <w:bookmarkStart w:id="61" w:name="bénéfices-attendus-pour-nova-syndicate"/>
    <w:p>
      <w:pPr>
        <w:pStyle w:val="Heading3"/>
      </w:pPr>
      <w:r>
        <w:t xml:space="preserve">11.2 Bénéfices attendus pour Nova Syndicate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Bénéfice</w:t>
            </w:r>
          </w:p>
        </w:tc>
        <w:tc>
          <w:tcPr/>
          <w:p>
            <w:pPr>
              <w:pStyle w:val="Compact"/>
            </w:pPr>
            <w:r>
              <w:t xml:space="preserve">Indicateur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Réduction du TCO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−89 %</w:t>
            </w:r>
            <w:r>
              <w:t xml:space="preserve"> </w:t>
            </w:r>
            <w:r>
              <w:t xml:space="preserve">sur 3 ans vs solution 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Centralisation des identités</w:t>
            </w:r>
          </w:p>
        </w:tc>
        <w:tc>
          <w:tcPr/>
          <w:p>
            <w:pPr>
              <w:pStyle w:val="Compact"/>
            </w:pPr>
            <w:r>
              <w:t xml:space="preserve">1 annuaire vs 85 comptes manuels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Sécurisation des accès distants</w:t>
            </w:r>
          </w:p>
        </w:tc>
        <w:tc>
          <w:tcPr/>
          <w:p>
            <w:pPr>
              <w:pStyle w:val="Compact"/>
            </w:pPr>
            <w:r>
              <w:t xml:space="preserve">20 commerciaux protégés VPN au lieu de VPN grand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des incidents</w:t>
            </w:r>
          </w:p>
        </w:tc>
        <w:tc>
          <w:tcPr/>
          <w:p>
            <w:pPr>
              <w:pStyle w:val="Compact"/>
            </w:pPr>
            <w:r>
              <w:t xml:space="preserve">Temps de détection : de plusieurs jours à</w:t>
            </w:r>
            <w:r>
              <w:t xml:space="preserve"> </w:t>
            </w:r>
            <w:r>
              <w:rPr>
                <w:b/>
                <w:bCs/>
              </w:rPr>
              <w:t xml:space="preserve">temps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Continuité d’activité</w:t>
            </w:r>
          </w:p>
        </w:tc>
        <w:tc>
          <w:tcPr/>
          <w:p>
            <w:pPr>
              <w:pStyle w:val="Compact"/>
            </w:pPr>
            <w:r>
              <w:t xml:space="preserve">Couverture multi-site avec interconnexion chiffrée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t xml:space="preserve">Reconstruction complète en</w:t>
            </w:r>
            <w:r>
              <w:t xml:space="preserve"> </w:t>
            </w:r>
            <w:r>
              <w:rPr>
                <w:b/>
                <w:bCs/>
              </w:rPr>
              <w:t xml:space="preserve">&lt; 4 heures</w:t>
            </w:r>
            <w:r>
              <w:t xml:space="preserve"> </w:t>
            </w:r>
            <w:r>
              <w:t xml:space="preserve">depuis le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sectorielle</w:t>
            </w:r>
          </w:p>
        </w:tc>
        <w:tc>
          <w:tcPr/>
          <w:p>
            <w:pPr>
              <w:pStyle w:val="Compact"/>
            </w:pPr>
            <w:r>
              <w:t xml:space="preserve">Posture compatible avec ISO 27001, RGPD, exigences défense</w:t>
            </w:r>
          </w:p>
        </w:tc>
      </w:tr>
    </w:tbl>
    <w:bookmarkEnd w:id="61"/>
    <w:bookmarkStart w:id="62" w:name="prochaine-étape"/>
    <w:p>
      <w:pPr>
        <w:pStyle w:val="Heading3"/>
      </w:pPr>
      <w:r>
        <w:t xml:space="preserve">11.3 Prochaine étape</w:t>
      </w:r>
    </w:p>
    <w:p>
      <w:pPr>
        <w:pStyle w:val="FirstParagraph"/>
      </w:pPr>
      <w:r>
        <w:t xml:space="preserve">L’acceptation du présent rapport déclenche le</w:t>
      </w:r>
      <w:r>
        <w:t xml:space="preserve"> </w:t>
      </w:r>
      <w:r>
        <w:rPr>
          <w:b/>
          <w:bCs/>
        </w:rPr>
        <w:t xml:space="preserve">lancement de la Phase II – Conception et déploiement</w:t>
      </w:r>
      <w:r>
        <w:t xml:space="preserve">, dont les livrables détaillés (schémas, documentation technique, preuves de fonctionnement) sont à produire dans les 3 jours ouvrés suivants.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Ce document est la propriété de [Cabinet] et de son client Nova Syndicate. Toute reproduction ou diffusion, partielle ou totale, est soumise à autorisation écrite préalable.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2026-05-13T10:00:29Z</dcterms:created>
  <dcterms:modified xsi:type="dcterms:W3CDTF">2026-05-13T10:00:29Z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