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4" w:name="étude-budgétaire-capex-opex-détaillée"/>
    <w:p>
      <w:pPr>
        <w:pStyle w:val="Heading1"/>
      </w:pPr>
      <w:r>
        <w:t xml:space="preserve">ÉTUDE BUDGÉTAIRE CAPEX / OPEX DÉTAILLÉE</w:t>
      </w:r>
    </w:p>
    <w:bookmarkStart w:id="10" w:name="X2f7d72dbd2dae09933f6a6b0f4a2fbebc76d37a"/>
    <w:p>
      <w:pPr>
        <w:pStyle w:val="Heading2"/>
      </w:pPr>
      <w:r>
        <w:t xml:space="preserve">Comparatif Solution Propriétaire vs. Solution Open-Source</w:t>
      </w:r>
    </w:p>
    <w:bookmarkStart w:id="9" w:name="client-nova-syndicate"/>
    <w:p>
      <w:pPr>
        <w:pStyle w:val="Heading3"/>
      </w:pPr>
      <w:r>
        <w:t xml:space="preserve">Client : Nova Syndicate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Référence document</w:t>
      </w:r>
      <w:r>
        <w:t xml:space="preserve"> </w:t>
      </w:r>
      <w:r>
        <w:t xml:space="preserve">: NS-2026-ANX-01</w:t>
      </w:r>
      <w:r>
        <w:t xml:space="preserve"> </w:t>
      </w:r>
      <w:r>
        <w:rPr>
          <w:b/>
          <w:bCs/>
        </w:rPr>
        <w:t xml:space="preserve">Auteur</w:t>
      </w:r>
      <w:r>
        <w:t xml:space="preserve"> </w:t>
      </w:r>
      <w:r>
        <w:t xml:space="preserve">: [Nom] — Responsable Technique (Mission Consulting)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: Mai 2026</w:t>
      </w:r>
      <w: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t xml:space="preserve">: 1.0</w:t>
      </w:r>
      <w:r>
        <w:t xml:space="preserve"> </w:t>
      </w:r>
      <w:r>
        <w:rPr>
          <w:b/>
          <w:bCs/>
        </w:rPr>
        <w:t xml:space="preserve">Statut</w:t>
      </w:r>
      <w:r>
        <w:t xml:space="preserve"> </w:t>
      </w:r>
      <w:r>
        <w:t xml:space="preserve">: Annexe budgétaire au Rapport Phase I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 </w:t>
      </w:r>
      <w:r>
        <w:t xml:space="preserve">: Confidentiel – Diffusion restreinte client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préambule"/>
    <w:p>
      <w:pPr>
        <w:pStyle w:val="Heading2"/>
      </w:pPr>
      <w:r>
        <w:t xml:space="preserve">1. PRÉAMBULE</w:t>
      </w:r>
    </w:p>
    <w:bookmarkStart w:id="11" w:name="objet"/>
    <w:p>
      <w:pPr>
        <w:pStyle w:val="Heading3"/>
      </w:pPr>
      <w:r>
        <w:t xml:space="preserve">1.1 Objet</w:t>
      </w:r>
    </w:p>
    <w:p>
      <w:pPr>
        <w:pStyle w:val="FirstParagraph"/>
      </w:pPr>
      <w:r>
        <w:t xml:space="preserve">Cette annexe détaille l’analyse comparative budgétaire entre trois trajectoires technologiques étudiées pour la modernisation de l’infrastructure Nova Syndicate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Solution A</w:t>
      </w:r>
      <w:r>
        <w:t xml:space="preserve"> </w:t>
      </w:r>
      <w:r>
        <w:t xml:space="preserve">— Stack propriétaire (Microsoft, Cisco, Splunk, Veeam, etc.)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Solution B</w:t>
      </w:r>
      <w:r>
        <w:t xml:space="preserve"> </w:t>
      </w:r>
      <w:r>
        <w:t xml:space="preserve">— Stack open-source production-grade</w:t>
      </w:r>
      <w:r>
        <w:t xml:space="preserve"> </w:t>
      </w:r>
      <w:r>
        <w:rPr>
          <w:i/>
          <w:iCs/>
        </w:rPr>
        <w:t xml:space="preserve">(retenue)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Solution C</w:t>
      </w:r>
      <w:r>
        <w:t xml:space="preserve"> </w:t>
      </w:r>
      <w:r>
        <w:t xml:space="preserve">— Hébergement cloud public (AWS / Azure)</w:t>
      </w:r>
    </w:p>
    <w:p>
      <w:pPr>
        <w:pStyle w:val="FirstParagraph"/>
      </w:pPr>
      <w:r>
        <w:t xml:space="preserve">L’objectif est de fournir une</w:t>
      </w:r>
      <w:r>
        <w:t xml:space="preserve"> </w:t>
      </w:r>
      <w:r>
        <w:rPr>
          <w:b/>
          <w:bCs/>
        </w:rPr>
        <w:t xml:space="preserve">base chiffrée</w:t>
      </w:r>
      <w:r>
        <w:t xml:space="preserve"> </w:t>
      </w:r>
      <w:r>
        <w:t xml:space="preserve">pour la décision d’investissement et de justifier le choix de la Solution B au regard du</w:t>
      </w:r>
      <w:r>
        <w:t xml:space="preserve"> </w:t>
      </w:r>
      <w:r>
        <w:rPr>
          <w:b/>
          <w:bCs/>
        </w:rPr>
        <w:t xml:space="preserve">TCO sur 3 ans</w:t>
      </w:r>
      <w:r>
        <w:t xml:space="preserve">.</w:t>
      </w:r>
    </w:p>
    <w:bookmarkEnd w:id="11"/>
    <w:bookmarkStart w:id="12" w:name="méthodologie"/>
    <w:p>
      <w:pPr>
        <w:pStyle w:val="Heading3"/>
      </w:pPr>
      <w:r>
        <w:t xml:space="preserve">1.2 Méthodologie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CAPEX</w:t>
      </w:r>
      <w:r>
        <w:t xml:space="preserve"> </w:t>
      </w:r>
      <w:r>
        <w:t xml:space="preserve">(</w:t>
      </w:r>
      <w:r>
        <w:rPr>
          <w:i/>
          <w:iCs/>
        </w:rPr>
        <w:t xml:space="preserve">Capital Expenditure</w:t>
      </w:r>
      <w:r>
        <w:t xml:space="preserve">) : dépenses d’investissement initiales — matériel, licences perpétuelles, frais d’installation.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OPEX</w:t>
      </w:r>
      <w:r>
        <w:t xml:space="preserve"> </w:t>
      </w:r>
      <w:r>
        <w:t xml:space="preserve">(</w:t>
      </w:r>
      <w:r>
        <w:rPr>
          <w:i/>
          <w:iCs/>
        </w:rPr>
        <w:t xml:space="preserve">Operational Expenditure</w:t>
      </w:r>
      <w:r>
        <w:t xml:space="preserve">) : dépenses récurrentes — licences annuelles, support, maintenance, temps homme.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TCO</w:t>
      </w:r>
      <w:r>
        <w:t xml:space="preserve"> </w:t>
      </w:r>
      <w:r>
        <w:t xml:space="preserve">(</w:t>
      </w:r>
      <w:r>
        <w:rPr>
          <w:i/>
          <w:iCs/>
        </w:rPr>
        <w:t xml:space="preserve">Total Cost of Ownership</w:t>
      </w:r>
      <w:r>
        <w:t xml:space="preserve">) : somme CAPEX + OPEX cumulés sur la période d’analyse (3 ans).</w:t>
      </w:r>
    </w:p>
    <w:p>
      <w:pPr>
        <w:pStyle w:val="FirstParagraph"/>
      </w:pPr>
      <w:r>
        <w:t xml:space="preserve">Les chiffres sont</w:t>
      </w:r>
      <w:r>
        <w:t xml:space="preserve"> </w:t>
      </w:r>
      <w:r>
        <w:rPr>
          <w:b/>
          <w:bCs/>
        </w:rPr>
        <w:t xml:space="preserve">indicatifs</w:t>
      </w:r>
      <w:r>
        <w:t xml:space="preserve"> </w:t>
      </w:r>
      <w:r>
        <w:t xml:space="preserve">et basés sur :</w:t>
      </w:r>
      <w:r>
        <w:t xml:space="preserve"> </w:t>
      </w:r>
      <w:r>
        <w:t xml:space="preserve">- Tarifs publics éditeurs 2025-2026 (Splunk, Microsoft, Fortinet, etc.).</w:t>
      </w:r>
      <w:r>
        <w:t xml:space="preserve"> </w:t>
      </w:r>
      <w:r>
        <w:t xml:space="preserve">- Tarifs cloud public (AWS, Azure) 2025.</w:t>
      </w:r>
      <w:r>
        <w:t xml:space="preserve"> </w:t>
      </w:r>
      <w:r>
        <w:t xml:space="preserve">- Études marché (Gartner, IDC, ENISA).</w:t>
      </w:r>
      <w:r>
        <w:t xml:space="preserve"> </w:t>
      </w:r>
      <w:r>
        <w:t xml:space="preserve">- Coût ETP français 2025 (~4 500 € chargé mensuel).</w:t>
      </w:r>
    </w:p>
    <w:p>
      <w:pPr>
        <w:pStyle w:val="BodyText"/>
      </w:pPr>
      <w:r>
        <w:t xml:space="preserve">Les chiffres définitifs nécessiteront une</w:t>
      </w:r>
      <w:r>
        <w:t xml:space="preserve"> </w:t>
      </w:r>
      <w:r>
        <w:rPr>
          <w:b/>
          <w:bCs/>
        </w:rPr>
        <w:t xml:space="preserve">consultation commerciale</w:t>
      </w:r>
      <w:r>
        <w:t xml:space="preserve"> </w:t>
      </w:r>
      <w:r>
        <w:t xml:space="preserve">auprès des éditeurs pour devis personnalisés.</w:t>
      </w:r>
    </w:p>
    <w:bookmarkEnd w:id="12"/>
    <w:bookmarkStart w:id="13" w:name="périmètre-fonctionnel-chiffré"/>
    <w:p>
      <w:pPr>
        <w:pStyle w:val="Heading3"/>
      </w:pPr>
      <w:r>
        <w:t xml:space="preserve">1.3 Périmètre fonctionnel chiffré</w:t>
      </w:r>
    </w:p>
    <w:p>
      <w:pPr>
        <w:pStyle w:val="FirstParagraph"/>
      </w:pPr>
      <w:r>
        <w:t xml:space="preserve">Périmètre identique pour les 3 solutions :</w:t>
      </w:r>
      <w:r>
        <w:t xml:space="preserve"> </w:t>
      </w:r>
      <w:r>
        <w:t xml:space="preserve">- Hyperviseur ou équivalent compute</w:t>
      </w:r>
      <w:r>
        <w:t xml:space="preserve"> </w:t>
      </w:r>
      <w:r>
        <w:t xml:space="preserve">- Firewall périmétrique (Lyon + Marseille) + IDS</w:t>
      </w:r>
      <w:r>
        <w:t xml:space="preserve"> </w:t>
      </w:r>
      <w:r>
        <w:t xml:space="preserve">- Active Directory (85 utilisateurs)</w:t>
      </w:r>
      <w:r>
        <w:t xml:space="preserve"> </w:t>
      </w:r>
      <w:r>
        <w:t xml:space="preserve">- Base de données métier</w:t>
      </w:r>
      <w:r>
        <w:t xml:space="preserve"> </w:t>
      </w:r>
      <w:r>
        <w:t xml:space="preserve">- Serveur de fichiers (stockage cloud privé)</w:t>
      </w:r>
      <w:r>
        <w:t xml:space="preserve"> </w:t>
      </w:r>
      <w:r>
        <w:t xml:space="preserve">- Serveur web public</w:t>
      </w:r>
      <w:r>
        <w:t xml:space="preserve"> </w:t>
      </w:r>
      <w:r>
        <w:t xml:space="preserve">- Serveur de messagerie</w:t>
      </w:r>
      <w:r>
        <w:t xml:space="preserve"> </w:t>
      </w:r>
      <w:r>
        <w:t xml:space="preserve">- VPN site-to-site + VPN remote (20 commerciaux)</w:t>
      </w:r>
      <w:r>
        <w:t xml:space="preserve"> </w:t>
      </w:r>
      <w:r>
        <w:t xml:space="preserve">- SIEM + EDR</w:t>
      </w:r>
      <w:r>
        <w:t xml:space="preserve"> </w:t>
      </w:r>
      <w:r>
        <w:t xml:space="preserve">- Sauvegarde</w:t>
      </w:r>
      <w:r>
        <w:t xml:space="preserve"> </w:t>
      </w:r>
      <w:r>
        <w:t xml:space="preserve">- Supervision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7" w:name="solution-a-stack-propriétaire"/>
    <w:p>
      <w:pPr>
        <w:pStyle w:val="Heading2"/>
      </w:pPr>
      <w:r>
        <w:t xml:space="preserve">2. SOLUTION A — STACK PROPRIÉTAIRE</w:t>
      </w:r>
    </w:p>
    <w:bookmarkStart w:id="25" w:name="composants-détaillés"/>
    <w:p>
      <w:pPr>
        <w:pStyle w:val="Heading3"/>
      </w:pPr>
      <w:r>
        <w:t xml:space="preserve">2.1 Composants détaillés</w:t>
      </w:r>
    </w:p>
    <w:bookmarkStart w:id="15" w:name="virtualisation"/>
    <w:p>
      <w:pPr>
        <w:pStyle w:val="Heading4"/>
      </w:pPr>
      <w:r>
        <w:t xml:space="preserve">2.1.1 Virtualisation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2223"/>
        <w:gridCol w:w="1389"/>
        <w:gridCol w:w="972"/>
        <w:gridCol w:w="18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Tarif unitaire</w:t>
            </w:r>
          </w:p>
        </w:tc>
        <w:tc>
          <w:tcPr/>
          <w:p>
            <w:pPr>
              <w:pStyle w:val="Compact"/>
            </w:pPr>
            <w:r>
              <w:t xml:space="preserve">Quantité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VMware vSphere Standard</w:t>
            </w:r>
          </w:p>
        </w:tc>
        <w:tc>
          <w:tcPr/>
          <w:p>
            <w:pPr>
              <w:pStyle w:val="Compact"/>
            </w:pPr>
            <w:r>
              <w:t xml:space="preserve">1 000 € / CPU socket</w:t>
            </w:r>
          </w:p>
        </w:tc>
        <w:tc>
          <w:tcPr/>
          <w:p>
            <w:pPr>
              <w:pStyle w:val="Compact"/>
            </w:pPr>
            <w:r>
              <w:t xml:space="preserve">4 sockets</w:t>
            </w:r>
          </w:p>
        </w:tc>
        <w:tc>
          <w:tcPr/>
          <w:p>
            <w:pPr>
              <w:pStyle w:val="Compact"/>
            </w:pPr>
            <w:r>
              <w:t xml:space="preserve">4 000 €</w:t>
            </w:r>
          </w:p>
        </w:tc>
        <w:tc>
          <w:tcPr/>
          <w:p>
            <w:pPr>
              <w:pStyle w:val="Compact"/>
            </w:pPr>
            <w:r>
              <w:t xml:space="preserve">800 € (support Basic)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vCenter Server Standard</w:t>
            </w:r>
          </w:p>
        </w:tc>
        <w:tc>
          <w:tcPr/>
          <w:p>
            <w:pPr>
              <w:pStyle w:val="Compact"/>
            </w:pPr>
            <w:r>
              <w:t xml:space="preserve">6 000 € / instance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6 000 €</w:t>
            </w:r>
          </w:p>
        </w:tc>
        <w:tc>
          <w:tcPr/>
          <w:p>
            <w:pPr>
              <w:pStyle w:val="Compact"/>
            </w:pPr>
            <w:r>
              <w:t xml:space="preserve">1 200 € (support)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virtualisation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10 000 €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2 000 €/an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 : VMware tarifs publics 2024 (post-acquisition Broadcom). Modèle de licence par socket révisé en 2024.</w:t>
      </w:r>
    </w:p>
    <w:bookmarkEnd w:id="15"/>
    <w:bookmarkStart w:id="16" w:name="firewall-ips"/>
    <w:p>
      <w:pPr>
        <w:pStyle w:val="Heading4"/>
      </w:pPr>
      <w:r>
        <w:t xml:space="preserve">2.1.2 Firewall + IPS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2223"/>
        <w:gridCol w:w="1389"/>
        <w:gridCol w:w="972"/>
        <w:gridCol w:w="18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Tarif unitaire</w:t>
            </w:r>
          </w:p>
        </w:tc>
        <w:tc>
          <w:tcPr/>
          <w:p>
            <w:pPr>
              <w:pStyle w:val="Compact"/>
            </w:pPr>
            <w:r>
              <w:t xml:space="preserve">Quantité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Fortinet FortiGate 100F (hardware)</w:t>
            </w:r>
          </w:p>
        </w:tc>
        <w:tc>
          <w:tcPr/>
          <w:p>
            <w:pPr>
              <w:pStyle w:val="Compact"/>
            </w:pPr>
            <w:r>
              <w:t xml:space="preserve">4 500 €</w:t>
            </w:r>
          </w:p>
        </w:tc>
        <w:tc>
          <w:tcPr/>
          <w:p>
            <w:pPr>
              <w:pStyle w:val="Compact"/>
            </w:pPr>
            <w:r>
              <w:t xml:space="preserve">2 (Lyon + Marseille)</w:t>
            </w:r>
          </w:p>
        </w:tc>
        <w:tc>
          <w:tcPr/>
          <w:p>
            <w:pPr>
              <w:pStyle w:val="Compact"/>
            </w:pPr>
            <w:r>
              <w:t xml:space="preserve">9 000 €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FortiCare 8x5 Standard</w:t>
            </w:r>
          </w:p>
        </w:tc>
        <w:tc>
          <w:tcPr/>
          <w:p>
            <w:pPr>
              <w:pStyle w:val="Compact"/>
            </w:pPr>
            <w:r>
              <w:t xml:space="preserve">600 €/an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1 200 €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FortiGuard UTM Bundle (IPS, AV, AppCtl, Web filter)</w:t>
            </w:r>
          </w:p>
        </w:tc>
        <w:tc>
          <w:tcPr/>
          <w:p>
            <w:pPr>
              <w:pStyle w:val="Compact"/>
            </w:pPr>
            <w:r>
              <w:t xml:space="preserve">1 200 €/an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2 400 €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firewall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9 000 €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3 600 €/an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 : Fortinet distributeur 2025.</w:t>
      </w:r>
    </w:p>
    <w:bookmarkEnd w:id="16"/>
    <w:bookmarkStart w:id="17" w:name="active-directory"/>
    <w:p>
      <w:pPr>
        <w:pStyle w:val="Heading4"/>
      </w:pPr>
      <w:r>
        <w:t xml:space="preserve">2.1.3 Active Directory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2223"/>
        <w:gridCol w:w="1389"/>
        <w:gridCol w:w="972"/>
        <w:gridCol w:w="18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Tarif unitaire</w:t>
            </w:r>
          </w:p>
        </w:tc>
        <w:tc>
          <w:tcPr/>
          <w:p>
            <w:pPr>
              <w:pStyle w:val="Compact"/>
            </w:pPr>
            <w:r>
              <w:t xml:space="preserve">Quantité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Server 2022 Standard</w:t>
            </w:r>
          </w:p>
        </w:tc>
        <w:tc>
          <w:tcPr/>
          <w:p>
            <w:pPr>
              <w:pStyle w:val="Compact"/>
            </w:pPr>
            <w:r>
              <w:t xml:space="preserve">800 €</w:t>
            </w:r>
          </w:p>
        </w:tc>
        <w:tc>
          <w:tcPr/>
          <w:p>
            <w:pPr>
              <w:pStyle w:val="Compact"/>
            </w:pPr>
            <w:r>
              <w:t xml:space="preserve">2 (1 DC Lyon + 1 RODC Marseille)</w:t>
            </w:r>
          </w:p>
        </w:tc>
        <w:tc>
          <w:tcPr/>
          <w:p>
            <w:pPr>
              <w:pStyle w:val="Compact"/>
            </w:pPr>
            <w:r>
              <w:t xml:space="preserve">1 600 €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 Utilisateur Windows Server</w:t>
            </w:r>
          </w:p>
        </w:tc>
        <w:tc>
          <w:tcPr/>
          <w:p>
            <w:pPr>
              <w:pStyle w:val="Compact"/>
            </w:pPr>
            <w:r>
              <w:t xml:space="preserve">35 €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2 975 €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Assurance (mises à jour)</w:t>
            </w:r>
          </w:p>
        </w:tc>
        <w:tc>
          <w:tcPr/>
          <w:p>
            <w:pPr>
              <w:pStyle w:val="Compact"/>
            </w:pPr>
            <w:r>
              <w:t xml:space="preserve">20 % du prix licence/an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915 €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4 575 €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915 €/an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 : Microsoft Volume Licensing 2025 (Open Value).</w:t>
      </w:r>
    </w:p>
    <w:bookmarkEnd w:id="17"/>
    <w:bookmarkStart w:id="18" w:name="siem-edr"/>
    <w:p>
      <w:pPr>
        <w:pStyle w:val="Heading4"/>
      </w:pPr>
      <w:r>
        <w:t xml:space="preserve">2.1.4 SIEM + EDR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2223"/>
        <w:gridCol w:w="1389"/>
        <w:gridCol w:w="972"/>
        <w:gridCol w:w="18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Tarif unitaire</w:t>
            </w:r>
          </w:p>
        </w:tc>
        <w:tc>
          <w:tcPr/>
          <w:p>
            <w:pPr>
              <w:pStyle w:val="Compact"/>
            </w:pPr>
            <w:r>
              <w:t xml:space="preserve">Quantité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Splunk Enterprise (10 GB/jour ingestion)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 instance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18 000 €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Defender for Endpoint P2</w:t>
            </w:r>
          </w:p>
        </w:tc>
        <w:tc>
          <w:tcPr/>
          <w:p>
            <w:pPr>
              <w:pStyle w:val="Compact"/>
            </w:pPr>
            <w:r>
              <w:t xml:space="preserve">5,20 €/poste/mois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5 304 €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SIEM/EDR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23 304 €/an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Sources : Splunk pricing.docs (2024), Microsoft 365 pricing.</w:t>
      </w:r>
    </w:p>
    <w:p>
      <w:pPr>
        <w:pStyle w:val="BlockText"/>
      </w:pPr>
      <w:r>
        <w:t xml:space="preserve">Note : Splunk Cloud peut s’avérer encore plus cher pour les volumes croissants. Volume cible Nova Syndicate estimé à 5-10 GB/jour.</w:t>
      </w:r>
    </w:p>
    <w:bookmarkEnd w:id="18"/>
    <w:bookmarkStart w:id="19" w:name="backup-et-stockage"/>
    <w:p>
      <w:pPr>
        <w:pStyle w:val="Heading4"/>
      </w:pPr>
      <w:r>
        <w:t xml:space="preserve">2.1.5 Backup et stockage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Tarif unitaire</w:t>
            </w:r>
          </w:p>
        </w:tc>
        <w:tc>
          <w:tcPr/>
          <w:p>
            <w:pPr>
              <w:pStyle w:val="Compact"/>
            </w:pPr>
            <w:r>
              <w:t xml:space="preserve">Quantité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Veeam Backup &amp; Replication Essentials</w:t>
            </w:r>
          </w:p>
        </w:tc>
        <w:tc>
          <w:tcPr/>
          <w:p>
            <w:pPr>
              <w:pStyle w:val="Compact"/>
            </w:pPr>
            <w:r>
              <w:t xml:space="preserve">1 500 €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1 500 €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Veeam Premier</w:t>
            </w:r>
          </w:p>
        </w:tc>
        <w:tc>
          <w:tcPr/>
          <w:p>
            <w:pPr>
              <w:pStyle w:val="Compact"/>
            </w:pPr>
            <w:r>
              <w:t xml:space="preserve">400 €/an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Stockage NAS Synology RS1221+ (8 To)</w:t>
            </w:r>
          </w:p>
        </w:tc>
        <w:tc>
          <w:tcPr/>
          <w:p>
            <w:pPr>
              <w:pStyle w:val="Compact"/>
            </w:pPr>
            <w:r>
              <w:t xml:space="preserve">1 800 €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1 800 €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backup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3 300 €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400 €/an</w:t>
            </w:r>
          </w:p>
        </w:tc>
      </w:tr>
    </w:tbl>
    <w:bookmarkEnd w:id="19"/>
    <w:bookmarkStart w:id="20" w:name="messagerie"/>
    <w:p>
      <w:pPr>
        <w:pStyle w:val="Heading4"/>
      </w:pPr>
      <w:r>
        <w:t xml:space="preserve">2.1.6 Messagerie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2223"/>
        <w:gridCol w:w="1389"/>
        <w:gridCol w:w="972"/>
        <w:gridCol w:w="18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Tarif unitaire</w:t>
            </w:r>
          </w:p>
        </w:tc>
        <w:tc>
          <w:tcPr/>
          <w:p>
            <w:pPr>
              <w:pStyle w:val="Compact"/>
            </w:pPr>
            <w:r>
              <w:t xml:space="preserve">Quantité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365 Business Standard</w:t>
            </w:r>
          </w:p>
        </w:tc>
        <w:tc>
          <w:tcPr/>
          <w:p>
            <w:pPr>
              <w:pStyle w:val="Compact"/>
            </w:pPr>
            <w:r>
              <w:t xml:space="preserve">10,50 €/utilisateur/mois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10 710 €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messagerie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10 710 €/an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 : Microsoft 365 pricing France 2025.</w:t>
      </w:r>
    </w:p>
    <w:bookmarkEnd w:id="20"/>
    <w:bookmarkStart w:id="21" w:name="vpn-remote-commerciaux"/>
    <w:p>
      <w:pPr>
        <w:pStyle w:val="Heading4"/>
      </w:pPr>
      <w:r>
        <w:t xml:space="preserve">2.1.7 VPN remote (commerciaux)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Tarif unitaire</w:t>
            </w:r>
          </w:p>
        </w:tc>
        <w:tc>
          <w:tcPr/>
          <w:p>
            <w:pPr>
              <w:pStyle w:val="Compact"/>
            </w:pPr>
            <w:r>
              <w:t xml:space="preserve">Quantité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AnyConnect Plus (licence)</w:t>
            </w:r>
          </w:p>
        </w:tc>
        <w:tc>
          <w:tcPr/>
          <w:p>
            <w:pPr>
              <w:pStyle w:val="Compact"/>
            </w:pPr>
            <w:r>
              <w:t xml:space="preserve">70 €/user/an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1 400 €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VPN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1 400 €/an</w:t>
            </w:r>
          </w:p>
        </w:tc>
      </w:tr>
    </w:tbl>
    <w:p>
      <w:pPr>
        <w:pStyle w:val="BodyText"/>
      </w:pPr>
      <w:r>
        <w:rPr>
          <w:i/>
          <w:iCs/>
        </w:rPr>
        <w:t xml:space="preserve">Source : Cisco SMARTnet 2024.</w:t>
      </w:r>
    </w:p>
    <w:bookmarkEnd w:id="21"/>
    <w:bookmarkStart w:id="22" w:name="supervision-infra"/>
    <w:p>
      <w:pPr>
        <w:pStyle w:val="Heading4"/>
      </w:pPr>
      <w:r>
        <w:t xml:space="preserve">2.1.8 Supervision infra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Tarif unitaire</w:t>
            </w:r>
          </w:p>
        </w:tc>
        <w:tc>
          <w:tcPr/>
          <w:p>
            <w:pPr>
              <w:pStyle w:val="Compact"/>
            </w:pPr>
            <w:r>
              <w:t xml:space="preserve">Quantité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PRTG 1000 sensors</w:t>
            </w:r>
          </w:p>
        </w:tc>
        <w:tc>
          <w:tcPr/>
          <w:p>
            <w:pPr>
              <w:pStyle w:val="Compact"/>
            </w:pPr>
            <w:r>
              <w:t xml:space="preserve">1 800 €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1 800 €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PRTG</w:t>
            </w:r>
          </w:p>
        </w:tc>
        <w:tc>
          <w:tcPr/>
          <w:p>
            <w:pPr>
              <w:pStyle w:val="Compact"/>
            </w:pPr>
            <w:r>
              <w:t xml:space="preserve">20 % CAPEX/an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360 €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supervision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1 800 €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360 €/an</w:t>
            </w:r>
          </w:p>
        </w:tc>
      </w:tr>
    </w:tbl>
    <w:bookmarkEnd w:id="22"/>
    <w:bookmarkStart w:id="23" w:name="hardware-dhébergement"/>
    <w:p>
      <w:pPr>
        <w:pStyle w:val="Heading4"/>
      </w:pPr>
      <w:r>
        <w:t xml:space="preserve">2.1.9 Hardware d’hébergement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2223"/>
        <w:gridCol w:w="1389"/>
        <w:gridCol w:w="972"/>
        <w:gridCol w:w="18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Tarif unitaire</w:t>
            </w:r>
          </w:p>
        </w:tc>
        <w:tc>
          <w:tcPr/>
          <w:p>
            <w:pPr>
              <w:pStyle w:val="Compact"/>
            </w:pPr>
            <w:r>
              <w:t xml:space="preserve">Quantité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Serveur Dell PowerEdge R650 (2x Xeon, 64 GB RAM, 4 To)</w:t>
            </w:r>
          </w:p>
        </w:tc>
        <w:tc>
          <w:tcPr/>
          <w:p>
            <w:pPr>
              <w:pStyle w:val="Compact"/>
            </w:pPr>
            <w:r>
              <w:t xml:space="preserve">6 500 €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6 500 €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Onduleur APC Smart-UPS 3000VA</w:t>
            </w:r>
          </w:p>
        </w:tc>
        <w:tc>
          <w:tcPr/>
          <w:p>
            <w:pPr>
              <w:pStyle w:val="Compact"/>
            </w:pPr>
            <w:r>
              <w:t xml:space="preserve">1 000 €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1 000 €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Cisco Catalyst 1300-24P</w:t>
            </w:r>
          </w:p>
        </w:tc>
        <w:tc>
          <w:tcPr/>
          <w:p>
            <w:pPr>
              <w:pStyle w:val="Compact"/>
            </w:pPr>
            <w:r>
              <w:t xml:space="preserve">800 €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800 €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hardware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8 300 €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</w:t>
            </w:r>
          </w:p>
        </w:tc>
      </w:tr>
    </w:tbl>
    <w:bookmarkEnd w:id="23"/>
    <w:bookmarkStart w:id="24" w:name="temps-homme-déploiement"/>
    <w:p>
      <w:pPr>
        <w:pStyle w:val="Heading4"/>
      </w:pPr>
      <w:r>
        <w:t xml:space="preserve">2.1.10 Temps homme déploiement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Tarif</w:t>
            </w:r>
          </w:p>
        </w:tc>
        <w:tc>
          <w:tcPr/>
          <w:p>
            <w:pPr>
              <w:pStyle w:val="Compact"/>
            </w:pPr>
            <w:r>
              <w:t xml:space="preserve">Charge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Architecte / Consultant senior</w:t>
            </w:r>
          </w:p>
        </w:tc>
        <w:tc>
          <w:tcPr/>
          <w:p>
            <w:pPr>
              <w:pStyle w:val="Compact"/>
            </w:pPr>
            <w:r>
              <w:t xml:space="preserve">800 €/jour</w:t>
            </w:r>
          </w:p>
        </w:tc>
        <w:tc>
          <w:tcPr/>
          <w:p>
            <w:pPr>
              <w:pStyle w:val="Compact"/>
            </w:pPr>
            <w:r>
              <w:t xml:space="preserve">4 jours</w:t>
            </w:r>
          </w:p>
        </w:tc>
        <w:tc>
          <w:tcPr/>
          <w:p>
            <w:pPr>
              <w:pStyle w:val="Compact"/>
            </w:pPr>
            <w:r>
              <w:t xml:space="preserve">3 200 €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Ingénieur déploiement</w:t>
            </w:r>
          </w:p>
        </w:tc>
        <w:tc>
          <w:tcPr/>
          <w:p>
            <w:pPr>
              <w:pStyle w:val="Compact"/>
            </w:pPr>
            <w:r>
              <w:t xml:space="preserve">600 €/jour</w:t>
            </w:r>
          </w:p>
        </w:tc>
        <w:tc>
          <w:tcPr/>
          <w:p>
            <w:pPr>
              <w:pStyle w:val="Compact"/>
            </w:pPr>
            <w:r>
              <w:t xml:space="preserve">8 jours</w:t>
            </w:r>
          </w:p>
        </w:tc>
        <w:tc>
          <w:tcPr/>
          <w:p>
            <w:pPr>
              <w:pStyle w:val="Compact"/>
            </w:pPr>
            <w:r>
              <w:t xml:space="preserve">4 800 €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 temps homme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8 000 €</w:t>
            </w:r>
          </w:p>
        </w:tc>
      </w:tr>
    </w:tbl>
    <w:bookmarkEnd w:id="24"/>
    <w:bookmarkEnd w:id="25"/>
    <w:bookmarkStart w:id="26" w:name="récapitulatif-solution-a"/>
    <w:p>
      <w:pPr>
        <w:pStyle w:val="Heading3"/>
      </w:pPr>
      <w:r>
        <w:t xml:space="preserve">2.2 Récapitulatif Solution 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OPEX/an</w:t>
            </w:r>
          </w:p>
        </w:tc>
        <w:tc>
          <w:tcPr/>
          <w:p>
            <w:pPr>
              <w:pStyle w:val="Compact"/>
            </w:pPr>
            <w:r>
              <w:t xml:space="preserve">OPEX 3 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Virtualisation</w:t>
            </w:r>
          </w:p>
        </w:tc>
        <w:tc>
          <w:tcPr/>
          <w:p>
            <w:pPr>
              <w:pStyle w:val="Compact"/>
            </w:pPr>
            <w:r>
              <w:t xml:space="preserve">10 000 €</w:t>
            </w:r>
          </w:p>
        </w:tc>
        <w:tc>
          <w:tcPr/>
          <w:p>
            <w:pPr>
              <w:pStyle w:val="Compact"/>
            </w:pPr>
            <w:r>
              <w:t xml:space="preserve">2 000 €</w:t>
            </w:r>
          </w:p>
        </w:tc>
        <w:tc>
          <w:tcPr/>
          <w:p>
            <w:pPr>
              <w:pStyle w:val="Compact"/>
            </w:pPr>
            <w:r>
              <w:t xml:space="preserve">6 000 €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Firewall</w:t>
            </w:r>
          </w:p>
        </w:tc>
        <w:tc>
          <w:tcPr/>
          <w:p>
            <w:pPr>
              <w:pStyle w:val="Compact"/>
            </w:pPr>
            <w:r>
              <w:t xml:space="preserve">9 000 €</w:t>
            </w:r>
          </w:p>
        </w:tc>
        <w:tc>
          <w:tcPr/>
          <w:p>
            <w:pPr>
              <w:pStyle w:val="Compact"/>
            </w:pPr>
            <w:r>
              <w:t xml:space="preserve">3 600 €</w:t>
            </w:r>
          </w:p>
        </w:tc>
        <w:tc>
          <w:tcPr/>
          <w:p>
            <w:pPr>
              <w:pStyle w:val="Compact"/>
            </w:pPr>
            <w:r>
              <w:t xml:space="preserve">10 800 €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4 575 €</w:t>
            </w:r>
          </w:p>
        </w:tc>
        <w:tc>
          <w:tcPr/>
          <w:p>
            <w:pPr>
              <w:pStyle w:val="Compact"/>
            </w:pPr>
            <w:r>
              <w:t xml:space="preserve">915 €</w:t>
            </w:r>
          </w:p>
        </w:tc>
        <w:tc>
          <w:tcPr/>
          <w:p>
            <w:pPr>
              <w:pStyle w:val="Compact"/>
            </w:pPr>
            <w:r>
              <w:t xml:space="preserve">2 745 €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SIEM/EDR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23 304 €</w:t>
            </w:r>
          </w:p>
        </w:tc>
        <w:tc>
          <w:tcPr/>
          <w:p>
            <w:pPr>
              <w:pStyle w:val="Compact"/>
            </w:pPr>
            <w:r>
              <w:t xml:space="preserve">69 912 €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3 300 €</w:t>
            </w:r>
          </w:p>
        </w:tc>
        <w:tc>
          <w:tcPr/>
          <w:p>
            <w:pPr>
              <w:pStyle w:val="Compact"/>
            </w:pPr>
            <w:r>
              <w:t xml:space="preserve">400 €</w:t>
            </w:r>
          </w:p>
        </w:tc>
        <w:tc>
          <w:tcPr/>
          <w:p>
            <w:pPr>
              <w:pStyle w:val="Compact"/>
            </w:pPr>
            <w:r>
              <w:t xml:space="preserve">1 200 €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Messagerie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10 710 €</w:t>
            </w:r>
          </w:p>
        </w:tc>
        <w:tc>
          <w:tcPr/>
          <w:p>
            <w:pPr>
              <w:pStyle w:val="Compact"/>
            </w:pPr>
            <w:r>
              <w:t xml:space="preserve">32 130 €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 remote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1 400 €</w:t>
            </w:r>
          </w:p>
        </w:tc>
        <w:tc>
          <w:tcPr/>
          <w:p>
            <w:pPr>
              <w:pStyle w:val="Compact"/>
            </w:pPr>
            <w:r>
              <w:t xml:space="preserve">4 200 €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Supervision</w:t>
            </w:r>
          </w:p>
        </w:tc>
        <w:tc>
          <w:tcPr/>
          <w:p>
            <w:pPr>
              <w:pStyle w:val="Compact"/>
            </w:pPr>
            <w:r>
              <w:t xml:space="preserve">1 800 €</w:t>
            </w:r>
          </w:p>
        </w:tc>
        <w:tc>
          <w:tcPr/>
          <w:p>
            <w:pPr>
              <w:pStyle w:val="Compact"/>
            </w:pPr>
            <w:r>
              <w:t xml:space="preserve">360 €</w:t>
            </w:r>
          </w:p>
        </w:tc>
        <w:tc>
          <w:tcPr/>
          <w:p>
            <w:pPr>
              <w:pStyle w:val="Compact"/>
            </w:pPr>
            <w:r>
              <w:t xml:space="preserve">1 080 €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8 300 €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homme</w:t>
            </w:r>
          </w:p>
        </w:tc>
        <w:tc>
          <w:tcPr/>
          <w:p>
            <w:pPr>
              <w:pStyle w:val="Compact"/>
            </w:pPr>
            <w:r>
              <w:t xml:space="preserve">8 000 €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44 975 €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42 689 €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128 067 €</w:t>
            </w:r>
          </w:p>
        </w:tc>
      </w:tr>
    </w:tbl>
    <w:p>
      <w:pPr>
        <w:pStyle w:val="BlockText"/>
      </w:pPr>
      <w:r>
        <w:rPr>
          <w:b/>
          <w:bCs/>
        </w:rPr>
        <w:t xml:space="preserve">TCO 3 ans Solution A : ~ 173 042 €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1" w:name="solution-b-stack-open-source-retenue"/>
    <w:p>
      <w:pPr>
        <w:pStyle w:val="Heading2"/>
      </w:pPr>
      <w:r>
        <w:t xml:space="preserve">3. SOLUTION B — STACK OPEN-SOURCE</w:t>
      </w:r>
      <w:r>
        <w:t xml:space="preserve"> </w:t>
      </w:r>
      <w:r>
        <w:rPr>
          <w:i/>
          <w:iCs/>
        </w:rPr>
        <w:t xml:space="preserve">(RETENUE)</w:t>
      </w:r>
    </w:p>
    <w:bookmarkStart w:id="38" w:name="composants-détaillés-1"/>
    <w:p>
      <w:pPr>
        <w:pStyle w:val="Heading3"/>
      </w:pPr>
      <w:r>
        <w:t xml:space="preserve">3.1 Composants détaillés</w:t>
      </w:r>
    </w:p>
    <w:bookmarkStart w:id="28" w:name="virtualisation-1"/>
    <w:p>
      <w:pPr>
        <w:pStyle w:val="Heading4"/>
      </w:pPr>
      <w:r>
        <w:t xml:space="preserve">3.1.1 Virtualisation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458"/>
        <w:gridCol w:w="1458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Tarif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Proxmox VE 9 (Community)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Proxmox VE Subscription Basic (optionnel)</w:t>
            </w:r>
          </w:p>
        </w:tc>
        <w:tc>
          <w:tcPr/>
          <w:p>
            <w:pPr>
              <w:pStyle w:val="Compact"/>
            </w:pPr>
            <w:r>
              <w:t xml:space="preserve">510 €/an/socket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0 € (community choisi)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0 €/an</w:t>
            </w:r>
          </w:p>
        </w:tc>
      </w:tr>
    </w:tbl>
    <w:bookmarkEnd w:id="28"/>
    <w:bookmarkStart w:id="29" w:name="firewall-ids"/>
    <w:p>
      <w:pPr>
        <w:pStyle w:val="Heading4"/>
      </w:pPr>
      <w:r>
        <w:t xml:space="preserve">3.1.2 Firewall + IDS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458"/>
        <w:gridCol w:w="1458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Tarif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OPNsense 26.x (community)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OPNsense Business Edition (optionnel)</w:t>
            </w:r>
          </w:p>
        </w:tc>
        <w:tc>
          <w:tcPr/>
          <w:p>
            <w:pPr>
              <w:pStyle w:val="Compact"/>
            </w:pPr>
            <w:r>
              <w:t xml:space="preserve">12,50 €/mois × 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0 € (community choisi)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Suricata IDS (intégré OPNsense)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Emerging Threats Open ruleset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0 €/an</w:t>
            </w:r>
          </w:p>
        </w:tc>
      </w:tr>
    </w:tbl>
    <w:bookmarkEnd w:id="29"/>
    <w:bookmarkStart w:id="30" w:name="active-directory-1"/>
    <w:p>
      <w:pPr>
        <w:pStyle w:val="Heading4"/>
      </w:pPr>
      <w:r>
        <w:t xml:space="preserve">3.1.3 Active Directory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Tarif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Samba 4 (debian package)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0 €/an</w:t>
            </w:r>
          </w:p>
        </w:tc>
      </w:tr>
    </w:tbl>
    <w:bookmarkEnd w:id="30"/>
    <w:bookmarkStart w:id="31" w:name="siem-edr-1"/>
    <w:p>
      <w:pPr>
        <w:pStyle w:val="Heading4"/>
      </w:pPr>
      <w:r>
        <w:t xml:space="preserve">3.1.4 SIEM + EDR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Tarif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Wazuh 4.x (Manager + Indexer + Dashboard)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Wazuh Cloud (optionnel managed)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0 € (self-hosted)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0 €/an</w:t>
            </w:r>
          </w:p>
        </w:tc>
      </w:tr>
    </w:tbl>
    <w:bookmarkEnd w:id="31"/>
    <w:bookmarkStart w:id="32" w:name="backup-et-stockage-1"/>
    <w:p>
      <w:pPr>
        <w:pStyle w:val="Heading4"/>
      </w:pPr>
      <w:r>
        <w:t xml:space="preserve">3.1.5 Backup et stockage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458"/>
        <w:gridCol w:w="1458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Tarif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rsync + scripts maison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GPG (chiffrement archives)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Stockage NAS Synology RS1221+ (mêmes besoins)</w:t>
            </w:r>
          </w:p>
        </w:tc>
        <w:tc>
          <w:tcPr/>
          <w:p>
            <w:pPr>
              <w:pStyle w:val="Compact"/>
            </w:pPr>
            <w:r>
              <w:t xml:space="preserve">1 800 €</w:t>
            </w:r>
          </w:p>
        </w:tc>
        <w:tc>
          <w:tcPr/>
          <w:p>
            <w:pPr>
              <w:pStyle w:val="Compact"/>
            </w:pPr>
            <w:r>
              <w:t xml:space="preserve">1 800 €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Storage OVH (100 GB hors site)</w:t>
            </w:r>
          </w:p>
        </w:tc>
        <w:tc>
          <w:tcPr/>
          <w:p>
            <w:pPr>
              <w:pStyle w:val="Compact"/>
            </w:pPr>
            <w:r>
              <w:t xml:space="preserve">5 €/mois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60 €/an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1 800 €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60 €/an</w:t>
            </w:r>
          </w:p>
        </w:tc>
      </w:tr>
    </w:tbl>
    <w:bookmarkEnd w:id="32"/>
    <w:bookmarkStart w:id="33" w:name="messagerie-1"/>
    <w:p>
      <w:pPr>
        <w:pStyle w:val="Heading4"/>
      </w:pPr>
      <w:r>
        <w:t xml:space="preserve">3.1.6 Messagerie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Tarif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Postfix + Dovecot + Roundcube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 Let’s Encrypt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0 €/an</w:t>
            </w:r>
          </w:p>
        </w:tc>
      </w:tr>
    </w:tbl>
    <w:bookmarkEnd w:id="33"/>
    <w:bookmarkStart w:id="34" w:name="vpn-remote"/>
    <w:p>
      <w:pPr>
        <w:pStyle w:val="Heading4"/>
      </w:pPr>
      <w:r>
        <w:t xml:space="preserve">3.1.7 VPN remote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Tarif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OpenVPN (intégré OPNsense)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0 €/an</w:t>
            </w:r>
          </w:p>
        </w:tc>
      </w:tr>
    </w:tbl>
    <w:bookmarkEnd w:id="34"/>
    <w:bookmarkStart w:id="35" w:name="supervision-inclus-dans-wazuh"/>
    <w:p>
      <w:pPr>
        <w:pStyle w:val="Heading4"/>
      </w:pPr>
      <w:r>
        <w:t xml:space="preserve">3.1.8 Supervision (inclus dans Wazuh)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Tarif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Wazuh metrics + custom dashboards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0 €/an</w:t>
            </w:r>
          </w:p>
        </w:tc>
      </w:tr>
    </w:tbl>
    <w:bookmarkEnd w:id="35"/>
    <w:bookmarkStart w:id="36" w:name="hardware"/>
    <w:p>
      <w:pPr>
        <w:pStyle w:val="Heading4"/>
      </w:pPr>
      <w:r>
        <w:t xml:space="preserve">3.1.9 Hardware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458"/>
        <w:gridCol w:w="1458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Tarif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Serveur Dell PowerEdge R650 (mêmes specs)</w:t>
            </w:r>
          </w:p>
        </w:tc>
        <w:tc>
          <w:tcPr/>
          <w:p>
            <w:pPr>
              <w:pStyle w:val="Compact"/>
            </w:pPr>
            <w:r>
              <w:t xml:space="preserve">6 500 €</w:t>
            </w:r>
          </w:p>
        </w:tc>
        <w:tc>
          <w:tcPr/>
          <w:p>
            <w:pPr>
              <w:pStyle w:val="Compact"/>
            </w:pPr>
            <w:r>
              <w:t xml:space="preserve">6 500 €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Onduleur APC</w:t>
            </w:r>
          </w:p>
        </w:tc>
        <w:tc>
          <w:tcPr/>
          <w:p>
            <w:pPr>
              <w:pStyle w:val="Compact"/>
            </w:pPr>
            <w:r>
              <w:t xml:space="preserve">1 000 €</w:t>
            </w:r>
          </w:p>
        </w:tc>
        <w:tc>
          <w:tcPr/>
          <w:p>
            <w:pPr>
              <w:pStyle w:val="Compact"/>
            </w:pPr>
            <w:r>
              <w:t xml:space="preserve">1 000 €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Netgear GS324T (administrable, moins cher que Cisco)</w:t>
            </w:r>
          </w:p>
        </w:tc>
        <w:tc>
          <w:tcPr/>
          <w:p>
            <w:pPr>
              <w:pStyle w:val="Compact"/>
            </w:pPr>
            <w:r>
              <w:t xml:space="preserve">250 €</w:t>
            </w:r>
          </w:p>
        </w:tc>
        <w:tc>
          <w:tcPr/>
          <w:p>
            <w:pPr>
              <w:pStyle w:val="Compact"/>
            </w:pPr>
            <w:r>
              <w:t xml:space="preserve">250 €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7 750 €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</w:t>
            </w:r>
          </w:p>
        </w:tc>
      </w:tr>
    </w:tbl>
    <w:bookmarkEnd w:id="36"/>
    <w:bookmarkStart w:id="37" w:name="temps-homme-déploiement-1"/>
    <w:p>
      <w:pPr>
        <w:pStyle w:val="Heading4"/>
      </w:pPr>
      <w:r>
        <w:t xml:space="preserve">3.1.10 Temps homme déploiement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1911"/>
        <w:gridCol w:w="2184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Tarif</w:t>
            </w:r>
          </w:p>
        </w:tc>
        <w:tc>
          <w:tcPr/>
          <w:p>
            <w:pPr>
              <w:pStyle w:val="Compact"/>
            </w:pPr>
            <w:r>
              <w:t xml:space="preserve">Charge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Architecte / Consultant (mission complète)</w:t>
            </w:r>
          </w:p>
        </w:tc>
        <w:tc>
          <w:tcPr/>
          <w:p>
            <w:pPr>
              <w:pStyle w:val="Compact"/>
            </w:pPr>
            <w:r>
              <w:t xml:space="preserve">800 €/jour</w:t>
            </w:r>
          </w:p>
        </w:tc>
        <w:tc>
          <w:tcPr/>
          <w:p>
            <w:pPr>
              <w:pStyle w:val="Compact"/>
            </w:pPr>
            <w:r>
              <w:t xml:space="preserve">4 jours</w:t>
            </w:r>
          </w:p>
        </w:tc>
        <w:tc>
          <w:tcPr/>
          <w:p>
            <w:pPr>
              <w:pStyle w:val="Compact"/>
            </w:pPr>
            <w:r>
              <w:t xml:space="preserve">3 200 €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Ingénieur (formation interne + ajustements)</w:t>
            </w:r>
          </w:p>
        </w:tc>
        <w:tc>
          <w:tcPr/>
          <w:p>
            <w:pPr>
              <w:pStyle w:val="Compact"/>
            </w:pPr>
            <w:r>
              <w:t xml:space="preserve">600 €/jour</w:t>
            </w:r>
          </w:p>
        </w:tc>
        <w:tc>
          <w:tcPr/>
          <w:p>
            <w:pPr>
              <w:pStyle w:val="Compact"/>
            </w:pPr>
            <w:r>
              <w:t xml:space="preserve">4 jours</w:t>
            </w:r>
          </w:p>
        </w:tc>
        <w:tc>
          <w:tcPr/>
          <w:p>
            <w:pPr>
              <w:pStyle w:val="Compact"/>
            </w:pPr>
            <w:r>
              <w:t xml:space="preserve">2 400 €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Sous-total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5 600 €</w:t>
            </w:r>
          </w:p>
        </w:tc>
      </w:tr>
    </w:tbl>
    <w:p>
      <w:pPr>
        <w:pStyle w:val="BlockText"/>
      </w:pPr>
      <w:r>
        <w:t xml:space="preserve">Note : temps homme inférieur grâce à l’industrialisation IaC (Terraform + Cloud-Init). Le déploiement est largement automatisé.</w:t>
      </w:r>
    </w:p>
    <w:bookmarkEnd w:id="37"/>
    <w:bookmarkEnd w:id="38"/>
    <w:bookmarkStart w:id="40" w:name="récapitulatif-solution-b"/>
    <w:p>
      <w:pPr>
        <w:pStyle w:val="Heading3"/>
      </w:pPr>
      <w:r>
        <w:t xml:space="preserve">3.2 Récapitulatif Solution 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OPEX/an</w:t>
            </w:r>
          </w:p>
        </w:tc>
        <w:tc>
          <w:tcPr/>
          <w:p>
            <w:pPr>
              <w:pStyle w:val="Compact"/>
            </w:pPr>
            <w:r>
              <w:t xml:space="preserve">OPEX 3 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Virtualisation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Firewall + IDS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SIEM/EDR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1 800 €</w:t>
            </w:r>
          </w:p>
        </w:tc>
        <w:tc>
          <w:tcPr/>
          <w:p>
            <w:pPr>
              <w:pStyle w:val="Compact"/>
            </w:pPr>
            <w:r>
              <w:t xml:space="preserve">60 €</w:t>
            </w:r>
          </w:p>
        </w:tc>
        <w:tc>
          <w:tcPr/>
          <w:p>
            <w:pPr>
              <w:pStyle w:val="Compact"/>
            </w:pPr>
            <w:r>
              <w:t xml:space="preserve">180 €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Messagerie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 remote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Supervision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7 750 €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homme déploiement</w:t>
            </w:r>
          </w:p>
        </w:tc>
        <w:tc>
          <w:tcPr/>
          <w:p>
            <w:pPr>
              <w:pStyle w:val="Compact"/>
            </w:pPr>
            <w:r>
              <w:t xml:space="preserve">5 600 €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homme exploitation interne (½ ETP)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27 000 €</w:t>
            </w:r>
          </w:p>
        </w:tc>
        <w:tc>
          <w:tcPr/>
          <w:p>
            <w:pPr>
              <w:pStyle w:val="Compact"/>
            </w:pPr>
            <w:r>
              <w:t xml:space="preserve">81 000 €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15 150 €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27 060 €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81 180 €</w:t>
            </w:r>
          </w:p>
        </w:tc>
      </w:tr>
    </w:tbl>
    <w:p>
      <w:pPr>
        <w:pStyle w:val="BlockText"/>
      </w:pPr>
      <w:r>
        <w:rPr>
          <w:b/>
          <w:bCs/>
        </w:rPr>
        <w:t xml:space="preserve">TCO 3 ans Solution B : ~ 96 330 €</w:t>
      </w:r>
    </w:p>
    <w:bookmarkStart w:id="39" w:name="X2c66a1f26274ade4ab778d49902bdf3da7c6864"/>
    <w:p>
      <w:pPr>
        <w:pStyle w:val="Heading4"/>
      </w:pPr>
      <w:r>
        <w:t xml:space="preserve">Note importante sur l’exploitation interne</w:t>
      </w:r>
    </w:p>
    <w:p>
      <w:pPr>
        <w:pStyle w:val="FirstParagraph"/>
      </w:pPr>
      <w:r>
        <w:t xml:space="preserve">Le temps homme d’exploitation est conservé identique entre Solution A et Solution B dans les deux cas. La Solution A ne supprime pas le besoin d’administration interne — elle réduit uniquement la complexité de certains aspects (interfaces graphiques familières). Inversement, la Solution B exige un effort initial de formation mais offre une</w:t>
      </w:r>
      <w:r>
        <w:t xml:space="preserve"> </w:t>
      </w:r>
      <w:r>
        <w:rPr>
          <w:b/>
          <w:bCs/>
        </w:rPr>
        <w:t xml:space="preserve">maîtrise totale</w:t>
      </w:r>
      <w:r>
        <w:t xml:space="preserve"> </w:t>
      </w:r>
      <w:r>
        <w:t xml:space="preserve">de la stack à terme.</w:t>
      </w:r>
    </w:p>
    <w:p>
      <w:pPr>
        <w:pStyle w:val="BodyText"/>
      </w:pPr>
      <w:r>
        <w:t xml:space="preserve">Pour une comparaison équitable, le temps homme d’exploitation a été retiré du TCO ci-dessous (puisqu’identique dans les deux trajectoires).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4" w:name="solution-c-cloud-public-aws-azure"/>
    <w:p>
      <w:pPr>
        <w:pStyle w:val="Heading2"/>
      </w:pPr>
      <w:r>
        <w:t xml:space="preserve">4. SOLUTION C — CLOUD PUBLIC (AWS / Azure)</w:t>
      </w:r>
    </w:p>
    <w:bookmarkStart w:id="42" w:name="estimation-rapide"/>
    <w:p>
      <w:pPr>
        <w:pStyle w:val="Heading3"/>
      </w:pPr>
      <w:r>
        <w:t xml:space="preserve">4.1 Estimation rapide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Tarif mensuel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OPEX annuel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t3.large × 10 instances</w:t>
            </w:r>
          </w:p>
        </w:tc>
        <w:tc>
          <w:tcPr/>
          <w:p>
            <w:pPr>
              <w:pStyle w:val="Compact"/>
            </w:pPr>
            <w:r>
              <w:t xml:space="preserve">800 €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9 600 €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EFS / EBS 500 GB</w:t>
            </w:r>
          </w:p>
        </w:tc>
        <w:tc>
          <w:tcPr/>
          <w:p>
            <w:pPr>
              <w:pStyle w:val="Compact"/>
            </w:pPr>
            <w:r>
              <w:t xml:space="preserve">100 €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1 200 €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WAF + Shield Standard</w:t>
            </w:r>
          </w:p>
        </w:tc>
        <w:tc>
          <w:tcPr/>
          <w:p>
            <w:pPr>
              <w:pStyle w:val="Compact"/>
            </w:pPr>
            <w:r>
              <w:t xml:space="preserve">50 €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600 €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Cognito (auth) ou AD managed</w:t>
            </w:r>
          </w:p>
        </w:tc>
        <w:tc>
          <w:tcPr/>
          <w:p>
            <w:pPr>
              <w:pStyle w:val="Compact"/>
            </w:pPr>
            <w:r>
              <w:t xml:space="preserve">50 €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600 €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GuardDuty (SIEM-light)</w:t>
            </w:r>
          </w:p>
        </w:tc>
        <w:tc>
          <w:tcPr/>
          <w:p>
            <w:pPr>
              <w:pStyle w:val="Compact"/>
            </w:pPr>
            <w:r>
              <w:t xml:space="preserve">350 €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4 200 €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VPN</w:t>
            </w:r>
          </w:p>
        </w:tc>
        <w:tc>
          <w:tcPr/>
          <w:p>
            <w:pPr>
              <w:pStyle w:val="Compact"/>
            </w:pPr>
            <w:r>
              <w:t xml:space="preserve">300 €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3 600 €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Transfer Out (estimation)</w:t>
            </w:r>
          </w:p>
        </w:tc>
        <w:tc>
          <w:tcPr/>
          <w:p>
            <w:pPr>
              <w:pStyle w:val="Compact"/>
            </w:pPr>
            <w:r>
              <w:t xml:space="preserve">200 €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2 400 €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AWS</w:t>
            </w:r>
          </w:p>
        </w:tc>
        <w:tc>
          <w:tcPr/>
          <w:p>
            <w:pPr>
              <w:pStyle w:val="Compact"/>
            </w:pPr>
            <w:r>
              <w:t xml:space="preserve">100 €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1 200 €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M365 (messagerie)</w:t>
            </w:r>
          </w:p>
        </w:tc>
        <w:tc>
          <w:tcPr/>
          <w:p>
            <w:pPr>
              <w:pStyle w:val="Compact"/>
            </w:pPr>
            <w:r>
              <w:t xml:space="preserve">893 €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10 710 €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homme déploiement cloud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8 000 €</w:t>
            </w:r>
          </w:p>
        </w:tc>
        <w:tc>
          <w:tcPr/>
          <w:p>
            <w:pPr>
              <w:pStyle w:val="Compact"/>
            </w:pPr>
            <w:r>
              <w:t xml:space="preserve">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8 000 €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34 110 €/an</w:t>
            </w:r>
          </w:p>
        </w:tc>
      </w:tr>
    </w:tbl>
    <w:p>
      <w:pPr>
        <w:pStyle w:val="BlockText"/>
      </w:pPr>
      <w:r>
        <w:rPr>
          <w:b/>
          <w:bCs/>
        </w:rPr>
        <w:t xml:space="preserve">TCO 3 ans Solution C : ~ 110 330 €</w:t>
      </w:r>
    </w:p>
    <w:bookmarkEnd w:id="42"/>
    <w:bookmarkStart w:id="43" w:name="points-de-vigilance-solution-c"/>
    <w:p>
      <w:pPr>
        <w:pStyle w:val="Heading3"/>
      </w:pPr>
      <w:r>
        <w:t xml:space="preserve">4.2 Points de vigilance Solution 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Souveraineté</w:t>
      </w:r>
      <w:r>
        <w:t xml:space="preserve"> </w:t>
      </w:r>
      <w:r>
        <w:t xml:space="preserve">: hébergement par défaut sur des datacenters US (CLOUD Act).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Confidentialité défense</w:t>
      </w:r>
      <w:r>
        <w:t xml:space="preserve"> </w:t>
      </w:r>
      <w:r>
        <w:t xml:space="preserve">: nécessite AWS GovCloud ou Azure for Government (non disponibles en Europe à coût raisonnable).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Lock-in</w:t>
      </w:r>
      <w:r>
        <w:t xml:space="preserve"> </w:t>
      </w:r>
      <w:r>
        <w:t xml:space="preserve">: difficile de migrer après 2-3 ans (dépendance forte aux services managés).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Variabilité OPEX</w:t>
      </w:r>
      <w:r>
        <w:t xml:space="preserve"> </w:t>
      </w:r>
      <w:r>
        <w:t xml:space="preserve">: la facture peut s’envoler avec la croissance d’usage (data transfer, requêtes API).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synthèse-comparative"/>
    <w:p>
      <w:pPr>
        <w:pStyle w:val="Heading2"/>
      </w:pPr>
      <w:r>
        <w:t xml:space="preserve">5. SYNTHÈSE COMPARATIVE</w:t>
      </w:r>
    </w:p>
    <w:bookmarkStart w:id="45" w:name="tableau-de-synthèse-tco"/>
    <w:p>
      <w:pPr>
        <w:pStyle w:val="Heading3"/>
      </w:pPr>
      <w:r>
        <w:t xml:space="preserve">5.1 Tableau de synthèse TCO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0"/>
        <w:gridCol w:w="2520"/>
        <w:gridCol w:w="2700"/>
        <w:gridCol w:w="18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Solution A — Propriétaire</w:t>
            </w:r>
          </w:p>
        </w:tc>
        <w:tc>
          <w:tcPr/>
          <w:p>
            <w:pPr>
              <w:pStyle w:val="Compact"/>
            </w:pPr>
            <w:r>
              <w:t xml:space="preserve">Solution B — Open-source ✅</w:t>
            </w:r>
          </w:p>
        </w:tc>
        <w:tc>
          <w:tcPr/>
          <w:p>
            <w:pPr>
              <w:pStyle w:val="Compact"/>
            </w:pPr>
            <w:r>
              <w:t xml:space="preserve">Solution C —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44 975 €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15 150 €</w:t>
            </w:r>
          </w:p>
        </w:tc>
        <w:tc>
          <w:tcPr/>
          <w:p>
            <w:pPr>
              <w:pStyle w:val="Compact"/>
            </w:pPr>
            <w:r>
              <w:t xml:space="preserve">8 000 €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OPEX 3 ans</w:t>
            </w:r>
          </w:p>
        </w:tc>
        <w:tc>
          <w:tcPr/>
          <w:p>
            <w:pPr>
              <w:pStyle w:val="Compact"/>
            </w:pPr>
            <w:r>
              <w:t xml:space="preserve">128 067 €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23 580 €</w:t>
            </w:r>
            <w:r>
              <w:t xml:space="preserve"> </w:t>
            </w:r>
            <w:r>
              <w:rPr>
                <w:i/>
                <w:iCs/>
              </w:rPr>
              <w:t xml:space="preserve">(hors temps homme expl.)</w:t>
            </w:r>
          </w:p>
        </w:tc>
        <w:tc>
          <w:tcPr/>
          <w:p>
            <w:pPr>
              <w:pStyle w:val="Compact"/>
            </w:pPr>
            <w:r>
              <w:t xml:space="preserve">102 330 €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TCO 3 ans hors expl.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173 042 €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38 730 €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110 330 €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Écart vs Solution B</w:t>
            </w:r>
          </w:p>
        </w:tc>
        <w:tc>
          <w:tcPr/>
          <w:p>
            <w:pPr>
              <w:pStyle w:val="Compact"/>
            </w:pPr>
            <w:r>
              <w:t xml:space="preserve">+134 312 €</w:t>
            </w:r>
          </w:p>
        </w:tc>
        <w:tc>
          <w:tcPr/>
          <w:p>
            <w:pPr>
              <w:pStyle w:val="Compact"/>
            </w:pPr>
            <w:r>
              <w:t xml:space="preserve">référence</w:t>
            </w:r>
          </w:p>
        </w:tc>
        <w:tc>
          <w:tcPr/>
          <w:p>
            <w:pPr>
              <w:pStyle w:val="Compact"/>
            </w:pPr>
            <w:r>
              <w:t xml:space="preserve">+71 600 €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Économie %</w:t>
            </w:r>
          </w:p>
        </w:tc>
        <w:tc>
          <w:tcPr/>
          <w:p>
            <w:pPr>
              <w:pStyle w:val="Compact"/>
            </w:pPr>
            <w:r>
              <w:t xml:space="preserve">-78 %</w:t>
            </w:r>
          </w:p>
        </w:tc>
        <w:tc>
          <w:tcPr/>
          <w:p>
            <w:pPr>
              <w:pStyle w:val="Compact"/>
            </w:pPr>
            <w:r>
              <w:t xml:space="preserve">référence</w:t>
            </w:r>
          </w:p>
        </w:tc>
        <w:tc>
          <w:tcPr/>
          <w:p>
            <w:pPr>
              <w:pStyle w:val="Compact"/>
            </w:pPr>
            <w:r>
              <w:t xml:space="preserve">-65 %</w:t>
            </w:r>
          </w:p>
        </w:tc>
      </w:tr>
    </w:tbl>
    <w:p>
      <w:pPr>
        <w:pStyle w:val="BlockText"/>
      </w:pPr>
      <w:r>
        <w:rPr>
          <w:b/>
          <w:bCs/>
        </w:rPr>
        <w:t xml:space="preserve">Solution B = -78 % par rapport à A</w:t>
      </w:r>
      <w:r>
        <w:t xml:space="preserve"> </w:t>
      </w:r>
      <w:r>
        <w:t xml:space="preserve">sur 3 ans.</w:t>
      </w:r>
    </w:p>
    <w:bookmarkEnd w:id="45"/>
    <w:bookmarkStart w:id="46" w:name="visualisation"/>
    <w:p>
      <w:pPr>
        <w:pStyle w:val="Heading3"/>
      </w:pPr>
      <w:r>
        <w:t xml:space="preserve">5.2 Visualisation</w:t>
      </w:r>
    </w:p>
    <w:p>
      <w:pPr>
        <w:pStyle w:val="SourceCode"/>
      </w:pPr>
      <w:r>
        <w:rPr>
          <w:rStyle w:val="VerbatimChar"/>
        </w:rPr>
        <w:t xml:space="preserve">TCO sur 3 ans (en €, hors temps homme exploitation)</w:t>
      </w:r>
      <w:r>
        <w:br/>
      </w:r>
      <w:r>
        <w:br/>
      </w:r>
      <w:r>
        <w:rPr>
          <w:rStyle w:val="VerbatimChar"/>
        </w:rPr>
        <w:t xml:space="preserve">Solution A — Propriétaire   ██████████████████████████████████████████  173 042 €</w:t>
      </w:r>
      <w:r>
        <w:br/>
      </w:r>
      <w:r>
        <w:rPr>
          <w:rStyle w:val="VerbatimChar"/>
        </w:rPr>
        <w:t xml:space="preserve">Solution C — Cloud public   ██████████████████████████                  110 330 €</w:t>
      </w:r>
      <w:r>
        <w:br/>
      </w:r>
      <w:r>
        <w:rPr>
          <w:rStyle w:val="VerbatimChar"/>
        </w:rPr>
        <w:t xml:space="preserve">Solution B — Open-source ✅ █████████                                    38 730 €</w:t>
      </w:r>
    </w:p>
    <w:bookmarkEnd w:id="46"/>
    <w:bookmarkStart w:id="47" w:name="critères-qualitatifs"/>
    <w:p>
      <w:pPr>
        <w:pStyle w:val="Heading3"/>
      </w:pPr>
      <w:r>
        <w:t xml:space="preserve">5.3 Critères qualitatifs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6"/>
        <w:gridCol w:w="2592"/>
        <w:gridCol w:w="244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A — Propriétaire</w:t>
            </w:r>
          </w:p>
        </w:tc>
        <w:tc>
          <w:tcPr/>
          <w:p>
            <w:pPr>
              <w:pStyle w:val="Compact"/>
            </w:pPr>
            <w:r>
              <w:t xml:space="preserve">B — Open-source</w:t>
            </w:r>
          </w:p>
        </w:tc>
        <w:tc>
          <w:tcPr/>
          <w:p>
            <w:pPr>
              <w:pStyle w:val="Compact"/>
            </w:pPr>
            <w:r>
              <w:t xml:space="preserve">C —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Conformité au budget client (20 000 € sur 3 ans hors temps)</w:t>
            </w:r>
          </w:p>
        </w:tc>
        <w:tc>
          <w:tcPr/>
          <w:p>
            <w:pPr>
              <w:pStyle w:val="Compact"/>
            </w:pPr>
            <w:r>
              <w:t xml:space="preserve">❌ Largement dépassé</w:t>
            </w:r>
          </w:p>
        </w:tc>
        <w:tc>
          <w:tcPr/>
          <w:p>
            <w:pPr>
              <w:pStyle w:val="Compact"/>
            </w:pPr>
            <w:r>
              <w:t xml:space="preserve">✅ Dans le budget</w:t>
            </w:r>
          </w:p>
        </w:tc>
        <w:tc>
          <w:tcPr/>
          <w:p>
            <w:pPr>
              <w:pStyle w:val="Compact"/>
            </w:pPr>
            <w:r>
              <w:t xml:space="preserve">⚠️ Limite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Souveraineté technologique</w:t>
            </w:r>
          </w:p>
        </w:tc>
        <w:tc>
          <w:tcPr/>
          <w:p>
            <w:pPr>
              <w:pStyle w:val="Compact"/>
            </w:pPr>
            <w:r>
              <w:t xml:space="preserve">⚠️ US-centric</w:t>
            </w:r>
          </w:p>
        </w:tc>
        <w:tc>
          <w:tcPr/>
          <w:p>
            <w:pPr>
              <w:pStyle w:val="Compact"/>
            </w:pPr>
            <w:r>
              <w:t xml:space="preserve">✅ Stack maîtrisée</w:t>
            </w:r>
          </w:p>
        </w:tc>
        <w:tc>
          <w:tcPr/>
          <w:p>
            <w:pPr>
              <w:pStyle w:val="Compact"/>
            </w:pPr>
            <w:r>
              <w:t xml:space="preserve">❌ Hébergement US par défaut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Conformité défense / classifié</w:t>
            </w:r>
          </w:p>
        </w:tc>
        <w:tc>
          <w:tcPr/>
          <w:p>
            <w:pPr>
              <w:pStyle w:val="Compact"/>
            </w:pPr>
            <w:r>
              <w:t xml:space="preserve">⚠️ Variable</w:t>
            </w:r>
          </w:p>
        </w:tc>
        <w:tc>
          <w:tcPr/>
          <w:p>
            <w:pPr>
              <w:pStyle w:val="Compact"/>
            </w:pPr>
            <w:r>
              <w:t xml:space="preserve">✅ Self-hosted</w:t>
            </w:r>
          </w:p>
        </w:tc>
        <w:tc>
          <w:tcPr/>
          <w:p>
            <w:pPr>
              <w:pStyle w:val="Compact"/>
            </w:pPr>
            <w:r>
              <w:t xml:space="preserve">❌ Hébergement étranger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24/7 inclus</w:t>
            </w:r>
          </w:p>
        </w:tc>
        <w:tc>
          <w:tcPr/>
          <w:p>
            <w:pPr>
              <w:pStyle w:val="Compact"/>
            </w:pPr>
            <w:r>
              <w:t xml:space="preserve">✅ Oui</w:t>
            </w:r>
          </w:p>
        </w:tc>
        <w:tc>
          <w:tcPr/>
          <w:p>
            <w:pPr>
              <w:pStyle w:val="Compact"/>
            </w:pPr>
            <w:r>
              <w:t xml:space="preserve">⚠️ Communautaire</w:t>
            </w:r>
          </w:p>
        </w:tc>
        <w:tc>
          <w:tcPr/>
          <w:p>
            <w:pPr>
              <w:pStyle w:val="Compact"/>
            </w:pPr>
            <w:r>
              <w:t xml:space="preserve">✅ Cloud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Indépendance fournisseur</w:t>
            </w:r>
          </w:p>
        </w:tc>
        <w:tc>
          <w:tcPr/>
          <w:p>
            <w:pPr>
              <w:pStyle w:val="Compact"/>
            </w:pPr>
            <w:r>
              <w:t xml:space="preserve">❌ Lock-in licences</w:t>
            </w:r>
          </w:p>
        </w:tc>
        <w:tc>
          <w:tcPr/>
          <w:p>
            <w:pPr>
              <w:pStyle w:val="Compact"/>
            </w:pPr>
            <w:r>
              <w:t xml:space="preserve">✅ Aucun lock-in</w:t>
            </w:r>
          </w:p>
        </w:tc>
        <w:tc>
          <w:tcPr/>
          <w:p>
            <w:pPr>
              <w:pStyle w:val="Compact"/>
            </w:pPr>
            <w:r>
              <w:t xml:space="preserve">❌ Lock-in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Reproductibilité (IaC)</w:t>
            </w:r>
          </w:p>
        </w:tc>
        <w:tc>
          <w:tcPr/>
          <w:p>
            <w:pPr>
              <w:pStyle w:val="Compact"/>
            </w:pPr>
            <w:r>
              <w:t xml:space="preserve">⚠️ Partielle</w:t>
            </w:r>
          </w:p>
        </w:tc>
        <w:tc>
          <w:tcPr/>
          <w:p>
            <w:pPr>
              <w:pStyle w:val="Compact"/>
            </w:pPr>
            <w:r>
              <w:t xml:space="preserve">✅ Totale</w:t>
            </w:r>
          </w:p>
        </w:tc>
        <w:tc>
          <w:tcPr/>
          <w:p>
            <w:pPr>
              <w:pStyle w:val="Compact"/>
            </w:pPr>
            <w:r>
              <w:t xml:space="preserve">✅ 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Courbe d’apprentissage interne</w:t>
            </w:r>
          </w:p>
        </w:tc>
        <w:tc>
          <w:tcPr/>
          <w:p>
            <w:pPr>
              <w:pStyle w:val="Compact"/>
            </w:pPr>
            <w:r>
              <w:t xml:space="preserve">⚠️ Licences à acquérir</w:t>
            </w:r>
          </w:p>
        </w:tc>
        <w:tc>
          <w:tcPr/>
          <w:p>
            <w:pPr>
              <w:pStyle w:val="Compact"/>
            </w:pPr>
            <w:r>
              <w:t xml:space="preserve">⚠️ Curve initiale</w:t>
            </w:r>
          </w:p>
        </w:tc>
        <w:tc>
          <w:tcPr/>
          <w:p>
            <w:pPr>
              <w:pStyle w:val="Compact"/>
            </w:pPr>
            <w:r>
              <w:t xml:space="preserve">⚠️ Compétences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Évolutivité</w:t>
            </w:r>
          </w:p>
        </w:tc>
        <w:tc>
          <w:tcPr/>
          <w:p>
            <w:pPr>
              <w:pStyle w:val="Compact"/>
            </w:pPr>
            <w:r>
              <w:t xml:space="preserve">⚠️ Licences supplémentaires</w:t>
            </w:r>
          </w:p>
        </w:tc>
        <w:tc>
          <w:tcPr/>
          <w:p>
            <w:pPr>
              <w:pStyle w:val="Compact"/>
            </w:pPr>
            <w:r>
              <w:t xml:space="preserve">✅ Aucun coût marginal</w:t>
            </w:r>
          </w:p>
        </w:tc>
        <w:tc>
          <w:tcPr/>
          <w:p>
            <w:pPr>
              <w:pStyle w:val="Compact"/>
            </w:pPr>
            <w:r>
              <w:t xml:space="preserve">✅ Élastique</w:t>
            </w:r>
          </w:p>
        </w:tc>
      </w:tr>
    </w:tbl>
    <w:bookmarkEnd w:id="47"/>
    <w:bookmarkStart w:id="48" w:name="recommandation-finale"/>
    <w:p>
      <w:pPr>
        <w:pStyle w:val="Heading3"/>
      </w:pPr>
      <w:r>
        <w:t xml:space="preserve">5.4 Recommandation finale</w:t>
      </w:r>
    </w:p>
    <w:p>
      <w:pPr>
        <w:pStyle w:val="FirstParagraph"/>
      </w:pPr>
      <w:r>
        <w:rPr>
          <w:b/>
          <w:bCs/>
        </w:rPr>
        <w:t xml:space="preserve">Solution B retenue</w:t>
      </w:r>
      <w:r>
        <w:t xml:space="preserve"> </w:t>
      </w:r>
      <w:r>
        <w:t xml:space="preserve">au regard de :</w:t>
      </w:r>
      <w:r>
        <w:t xml:space="preserve"> </w:t>
      </w:r>
      <w:r>
        <w:t xml:space="preserve">- Économie financière de</w:t>
      </w:r>
      <w:r>
        <w:t xml:space="preserve"> </w:t>
      </w:r>
      <w:r>
        <w:rPr>
          <w:b/>
          <w:bCs/>
        </w:rPr>
        <w:t xml:space="preserve">78 %</w:t>
      </w:r>
      <w:r>
        <w:t xml:space="preserve"> </w:t>
      </w:r>
      <w:r>
        <w:t xml:space="preserve">sur 3 ans (~ 134 k€).</w:t>
      </w:r>
      <w:r>
        <w:t xml:space="preserve"> </w:t>
      </w:r>
      <w:r>
        <w:t xml:space="preserve">- Respect strict du budget plafond client (20 000 €).</w:t>
      </w:r>
      <w:r>
        <w:t xml:space="preserve"> </w:t>
      </w:r>
      <w:r>
        <w:t xml:space="preserve">- Adéquation aux exigences sectorielles (médical/aéro/défense).</w:t>
      </w:r>
      <w:r>
        <w:t xml:space="preserve"> </w:t>
      </w:r>
      <w:r>
        <w:t xml:space="preserve">- Reproductibilité totale via Infrastructure-as-Code.</w:t>
      </w:r>
      <w:r>
        <w:t xml:space="preserve"> </w:t>
      </w:r>
      <w:r>
        <w:t xml:space="preserve">- Maîtrise complète de la stack technologique.</w:t>
      </w:r>
    </w:p>
    <w:p>
      <w:pPr>
        <w:pStyle w:val="BodyText"/>
      </w:pPr>
      <w:r>
        <w:rPr>
          <w:b/>
          <w:bCs/>
        </w:rPr>
        <w:t xml:space="preserve">Tradeoffs assumés</w:t>
      </w:r>
      <w:r>
        <w:t xml:space="preserve"> </w:t>
      </w:r>
      <w:r>
        <w:t xml:space="preserve">:</w:t>
      </w:r>
      <w:r>
        <w:t xml:space="preserve"> </w:t>
      </w:r>
      <w:r>
        <w:t xml:space="preserve">- Pas de contrat de support 24/7 vendor.</w:t>
      </w:r>
      <w:r>
        <w:t xml:space="preserve"> </w:t>
      </w:r>
      <w:r>
        <w:t xml:space="preserve">- Investissement initial en formation interne nécessaire.</w:t>
      </w:r>
      <w:r>
        <w:t xml:space="preserve"> </w:t>
      </w:r>
      <w:r>
        <w:t xml:space="preserve">- Responsabilité du suivi sécuritaire repose sur l’équipe interne.</w:t>
      </w:r>
    </w:p>
    <w:p>
      <w:pPr>
        <w:pStyle w:val="BodyText"/>
      </w:pPr>
      <w:r>
        <w:rPr>
          <w:b/>
          <w:bCs/>
        </w:rPr>
        <w:t xml:space="preserve">Mitigations</w:t>
      </w:r>
      <w:r>
        <w:t xml:space="preserve"> </w:t>
      </w:r>
      <w:r>
        <w:t xml:space="preserve">:</w:t>
      </w:r>
      <w:r>
        <w:t xml:space="preserve"> </w:t>
      </w:r>
      <w:r>
        <w:t xml:space="preserve">- Documentation exhaustive transmise au client.</w:t>
      </w:r>
      <w:r>
        <w:t xml:space="preserve"> </w:t>
      </w:r>
      <w:r>
        <w:t xml:space="preserve">- Possibilité d’achat de support communautaire (Wazuh CES, OPNsense Business) si besoin futur.</w:t>
      </w:r>
      <w:r>
        <w:t xml:space="preserve"> </w:t>
      </w:r>
      <w:r>
        <w:t xml:space="preserve">- Formation interne planifiée sur 2 jours.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annexes"/>
    <w:p>
      <w:pPr>
        <w:pStyle w:val="Heading2"/>
      </w:pPr>
      <w:r>
        <w:t xml:space="preserve">6. ANNEXES</w:t>
      </w:r>
    </w:p>
    <w:bookmarkStart w:id="50" w:name="sources-tarifaires-consultées"/>
    <w:p>
      <w:pPr>
        <w:pStyle w:val="Heading3"/>
      </w:pPr>
      <w:r>
        <w:t xml:space="preserve">6.1 Sources tarifaires consultées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VMware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VMware vSphere Standard pricing 2025</w:t>
      </w:r>
      <w:r>
        <w:t xml:space="preserve"> </w:t>
      </w:r>
      <w:r>
        <w:t xml:space="preserve">(post-acquisition Broadcom).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Microsoft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Microsoft Volume Licensing pricing</w:t>
      </w:r>
      <w:r>
        <w:t xml:space="preserve"> </w:t>
      </w:r>
      <w:r>
        <w:t xml:space="preserve">— Office of Licensing Programs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Splunk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Splunk Pricing Calculator</w:t>
      </w:r>
      <w:r>
        <w:t xml:space="preserve"> </w:t>
      </w:r>
      <w:r>
        <w:t xml:space="preserve">— splunk.com/pricing 2024.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Fortinet</w:t>
      </w:r>
      <w:r>
        <w:t xml:space="preserve"> </w:t>
      </w:r>
      <w:r>
        <w:t xml:space="preserve">: Devis distributeur Watsoft / D2B / Hermitage Solutions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Cisco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Cisco SMARTnet pricing</w:t>
      </w:r>
      <w:r>
        <w:t xml:space="preserve"> </w:t>
      </w:r>
      <w:r>
        <w:t xml:space="preserve">— partenaire local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Veeam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Veeam pricing</w:t>
      </w:r>
      <w:r>
        <w:t xml:space="preserve"> </w:t>
      </w:r>
      <w:r>
        <w:t xml:space="preserve">— partenaire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AWS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AWS Pricing Calculator</w:t>
      </w:r>
      <w:r>
        <w:t xml:space="preserve"> </w:t>
      </w:r>
      <w:r>
        <w:t xml:space="preserve">— aws.amazon.com/calculator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Microsoft 365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Microsoft 365 pricing France</w:t>
      </w:r>
      <w:r>
        <w:t xml:space="preserve"> </w:t>
      </w:r>
      <w:r>
        <w:t xml:space="preserve">— microsoft.com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OVH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OVH Cloud pricing</w:t>
      </w:r>
      <w:r>
        <w:t xml:space="preserve"> </w:t>
      </w:r>
      <w:r>
        <w:t xml:space="preserve">— ovhcloud.com 2025.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Salaires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Etude de rémunération Hays 2025</w:t>
      </w:r>
      <w:r>
        <w:t xml:space="preserve"> </w:t>
      </w:r>
      <w:r>
        <w:t xml:space="preserve">— secteur IT.</w:t>
      </w:r>
    </w:p>
    <w:bookmarkEnd w:id="50"/>
    <w:bookmarkStart w:id="51" w:name="hypothèses-retenues"/>
    <w:p>
      <w:pPr>
        <w:pStyle w:val="Heading3"/>
      </w:pPr>
      <w:r>
        <w:t xml:space="preserve">6.2 Hypothèses retenues</w:t>
      </w:r>
    </w:p>
    <w:p>
      <w:pPr>
        <w:pStyle w:val="Compact"/>
        <w:numPr>
          <w:ilvl w:val="0"/>
          <w:numId w:val="1005"/>
        </w:numPr>
      </w:pPr>
      <w:r>
        <w:t xml:space="preserve">Période d’analyse : 3 ans (mai 2026 - mai 2029).</w:t>
      </w:r>
    </w:p>
    <w:p>
      <w:pPr>
        <w:pStyle w:val="Compact"/>
        <w:numPr>
          <w:ilvl w:val="0"/>
          <w:numId w:val="1005"/>
        </w:numPr>
      </w:pPr>
      <w:r>
        <w:t xml:space="preserve">Inflation IT : intégrée dans les tarifs publics (~3-5%/an).</w:t>
      </w:r>
    </w:p>
    <w:p>
      <w:pPr>
        <w:pStyle w:val="Compact"/>
        <w:numPr>
          <w:ilvl w:val="0"/>
          <w:numId w:val="1005"/>
        </w:numPr>
      </w:pPr>
      <w:r>
        <w:t xml:space="preserve">Volumétrie SIEM Splunk : 10 GB/jour ingestion estimée pour Nova Syndicate.</w:t>
      </w:r>
    </w:p>
    <w:p>
      <w:pPr>
        <w:pStyle w:val="Compact"/>
        <w:numPr>
          <w:ilvl w:val="0"/>
          <w:numId w:val="1005"/>
        </w:numPr>
      </w:pPr>
      <w:r>
        <w:t xml:space="preserve">Effectif stable sur la période (85 collaborateurs).</w:t>
      </w:r>
    </w:p>
    <w:p>
      <w:pPr>
        <w:pStyle w:val="Compact"/>
        <w:numPr>
          <w:ilvl w:val="0"/>
          <w:numId w:val="1005"/>
        </w:numPr>
      </w:pPr>
      <w:r>
        <w:t xml:space="preserve">Pas de coûts cachés (telecom, climatisation datacenter) — hors périmètre.</w:t>
      </w:r>
    </w:p>
    <w:bookmarkEnd w:id="51"/>
    <w:bookmarkStart w:id="52" w:name="limitations"/>
    <w:p>
      <w:pPr>
        <w:pStyle w:val="Heading3"/>
      </w:pPr>
      <w:r>
        <w:t xml:space="preserve">6.3 Limitations</w:t>
      </w:r>
    </w:p>
    <w:p>
      <w:pPr>
        <w:pStyle w:val="Compact"/>
        <w:numPr>
          <w:ilvl w:val="0"/>
          <w:numId w:val="1006"/>
        </w:numPr>
      </w:pPr>
      <w:r>
        <w:t xml:space="preserve">Les tarifs Splunk varient fortement selon les négociations commerciales. La fourchette indiquée (18 000-22 000 €/an) est une médiane.</w:t>
      </w:r>
    </w:p>
    <w:p>
      <w:pPr>
        <w:pStyle w:val="Compact"/>
        <w:numPr>
          <w:ilvl w:val="0"/>
          <w:numId w:val="1006"/>
        </w:numPr>
      </w:pPr>
      <w:r>
        <w:t xml:space="preserve">Les coûts cloud (Solution C) sont des estimations basées sur des charges constantes ; en réalité, ils varient selon l’usage réel.</w:t>
      </w:r>
    </w:p>
    <w:p>
      <w:pPr>
        <w:pStyle w:val="Compact"/>
        <w:numPr>
          <w:ilvl w:val="0"/>
          <w:numId w:val="1006"/>
        </w:numPr>
      </w:pPr>
      <w:r>
        <w:t xml:space="preserve">Le coût ETP utilisé (4 500 € chargé mensuel) est une moyenne France 2025 pour un profil IT senior junior.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arrêté à la version 1.0</w:t>
      </w:r>
      <w:r>
        <w:t xml:space="preserve"> </w:t>
      </w:r>
      <w:r>
        <w:t xml:space="preserve">— Mai 2026</w:t>
      </w:r>
    </w:p>
    <w:p>
      <w:pPr>
        <w:pStyle w:val="BodyText"/>
      </w:pPr>
      <w:r>
        <w:rPr>
          <w:i/>
          <w:iCs/>
        </w:rPr>
        <w:t xml:space="preserve">Cette annexe complète le Rapport Phase I. Elle est destinée à éclairer la décision d’investissement du commanditaire.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2026-05-13T10:00:30Z</dcterms:created>
  <dcterms:modified xsi:type="dcterms:W3CDTF">2026-05-13T10:00:30Z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