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0" w:before="800"/>
        <w:jc w:val="center"/>
      </w:pPr>
      <w:r>
        <w:rPr>
          <w:rFonts w:ascii="Arial" w:cs="Arial" w:eastAsia="Arial" w:hAnsi="Arial"/>
          <w:b/>
          <w:bCs/>
          <w:color w:val="1A3A6B"/>
          <w:sz w:val="48"/>
          <w:szCs w:val="48"/>
        </w:rPr>
        <w:t xml:space="preserve">NOVA SYNDICATE</w:t>
      </w:r>
    </w:p>
    <w:p>
      <w:pPr>
        <w:spacing w:after="600" w:before="0"/>
        <w:jc w:val="center"/>
      </w:pPr>
      <w:r>
        <w:rPr>
          <w:rFonts w:ascii="Arial" w:cs="Arial" w:eastAsia="Arial" w:hAnsi="Arial"/>
          <w:color w:val="1A2F5A"/>
          <w:sz w:val="32"/>
          <w:szCs w:val="32"/>
        </w:rPr>
        <w:t xml:space="preserve">Phase I : Rapport d'Analyse</w:t>
      </w:r>
    </w:p>
    <w:p>
      <w:pPr>
        <w:spacing w:after="40" w:before="40"/>
      </w:pPr>
      <w:r>
        <w:t xml:space="preserve"/>
      </w:r>
    </w:p>
    <w:p>
      <w:pPr>
        <w:spacing w:after="40" w:before="40"/>
      </w:pPr>
      <w:r>
        <w:t xml:space="preserve"/>
      </w:r>
    </w:p>
    <w:p>
      <w:pPr>
        <w:spacing w:after="40" w:before="40"/>
      </w:pPr>
      <w:r>
        <w:t xml:space="preserve"/>
      </w:r>
    </w:p>
    <w:p>
      <w:pPr>
        <w:spacing w:after="200" w:before="400"/>
        <w:jc w:val="center"/>
      </w:pPr>
      <w:r>
        <w:rPr>
          <w:rFonts w:ascii="Arial" w:cs="Arial" w:eastAsia="Arial" w:hAnsi="Arial"/>
          <w:i/>
          <w:iCs/>
          <w:color w:val="555555"/>
          <w:sz w:val="22"/>
          <w:szCs w:val="22"/>
        </w:rPr>
        <w:t xml:space="preserve">Version 1.0 — Avril 2026</w:t>
      </w:r>
    </w:p>
    <w:p>
      <w:pPr>
        <w:spacing w:after="600" w:before="0"/>
        <w:jc w:val="center"/>
      </w:pPr>
      <w:r>
        <w:rPr>
          <w:rFonts w:ascii="Arial" w:cs="Arial" w:eastAsia="Arial" w:hAnsi="Arial"/>
          <w:b/>
          <w:bCs/>
          <w:color w:val="C0392B"/>
          <w:sz w:val="24"/>
          <w:szCs w:val="24"/>
        </w:rPr>
        <w:t xml:space="preserve">Confidentiel</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0" w:before="400"/>
        <w:jc w:val="center"/>
      </w:pPr>
      <w:r>
        <w:rPr>
          <w:rFonts w:ascii="Arial" w:cs="Arial" w:eastAsia="Arial" w:hAnsi="Arial"/>
          <w:i/>
          <w:iCs/>
          <w:color w:val="555555"/>
          <w:sz w:val="20"/>
          <w:szCs w:val="20"/>
        </w:rPr>
        <w:t xml:space="preserve">Document stratégique d'évaluation de l'infrastructure IT</w:t>
      </w:r>
    </w:p>
    <w:p>
      <w:pPr>
        <w:spacing w:after="0" w:before="80"/>
        <w:jc w:val="center"/>
      </w:pPr>
      <w:r>
        <w:rPr>
          <w:rFonts w:ascii="Arial" w:cs="Arial" w:eastAsia="Arial" w:hAnsi="Arial"/>
          <w:i/>
          <w:iCs/>
          <w:color w:val="555555"/>
          <w:sz w:val="20"/>
          <w:szCs w:val="20"/>
        </w:rPr>
        <w:t xml:space="preserve">Audit de conformité au cahier des charges</w:t>
      </w:r>
    </w:p>
    <w:p>
      <w:r>
        <w:br w:type="page"/>
      </w:r>
    </w:p>
    <w:p>
      <w:pPr>
        <w:pStyle w:val="Heading1"/>
        <w:spacing w:after="160" w:before="400"/>
      </w:pPr>
      <w:r>
        <w:rPr>
          <w:rFonts w:ascii="Arial" w:cs="Arial" w:eastAsia="Arial" w:hAnsi="Arial"/>
          <w:b/>
          <w:bCs/>
          <w:color w:val="1A3A6B"/>
          <w:sz w:val="38"/>
          <w:szCs w:val="38"/>
        </w:rPr>
        <w:t xml:space="preserve">SOMMAIRE</w:t>
      </w:r>
    </w:p>
    <w:p>
      <w:pPr>
        <w:pStyle w:val="ListParagraph"/>
        <w:numPr>
          <w:ilvl w:val="0"/>
          <w:numId w:val="2"/>
        </w:numPr>
        <w:spacing w:after="40" w:before="40"/>
      </w:pPr>
      <w:r>
        <w:rPr>
          <w:rFonts w:ascii="Arial" w:cs="Arial" w:eastAsia="Arial" w:hAnsi="Arial"/>
          <w:b w:val="false"/>
          <w:bCs w:val="false"/>
          <w:color w:val="000000"/>
          <w:sz w:val="20"/>
          <w:szCs w:val="20"/>
        </w:rPr>
        <w:t xml:space="preserve">Présentation de Nova Syndicate</w:t>
      </w:r>
    </w:p>
    <w:p>
      <w:pPr>
        <w:pStyle w:val="ListParagraph"/>
        <w:numPr>
          <w:ilvl w:val="0"/>
          <w:numId w:val="2"/>
        </w:numPr>
        <w:spacing w:after="40" w:before="40"/>
      </w:pPr>
      <w:r>
        <w:rPr>
          <w:rFonts w:ascii="Arial" w:cs="Arial" w:eastAsia="Arial" w:hAnsi="Arial"/>
          <w:b w:val="false"/>
          <w:bCs w:val="false"/>
          <w:color w:val="000000"/>
          <w:sz w:val="20"/>
          <w:szCs w:val="20"/>
        </w:rPr>
        <w:t xml:space="preserve">Analyse des Besoins</w:t>
      </w:r>
    </w:p>
    <w:p>
      <w:pPr>
        <w:pStyle w:val="ListParagraph"/>
        <w:numPr>
          <w:ilvl w:val="0"/>
          <w:numId w:val="2"/>
        </w:numPr>
        <w:spacing w:after="40" w:before="40"/>
      </w:pPr>
      <w:r>
        <w:rPr>
          <w:rFonts w:ascii="Arial" w:cs="Arial" w:eastAsia="Arial" w:hAnsi="Arial"/>
          <w:b w:val="false"/>
          <w:bCs w:val="false"/>
          <w:color w:val="000000"/>
          <w:sz w:val="20"/>
          <w:szCs w:val="20"/>
        </w:rPr>
        <w:t xml:space="preserve">Architecture Proposée</w:t>
      </w:r>
    </w:p>
    <w:p>
      <w:pPr>
        <w:pStyle w:val="ListParagraph"/>
        <w:numPr>
          <w:ilvl w:val="0"/>
          <w:numId w:val="2"/>
        </w:numPr>
        <w:spacing w:after="40" w:before="40"/>
      </w:pPr>
      <w:r>
        <w:rPr>
          <w:rFonts w:ascii="Arial" w:cs="Arial" w:eastAsia="Arial" w:hAnsi="Arial"/>
          <w:b w:val="false"/>
          <w:bCs w:val="false"/>
          <w:color w:val="000000"/>
          <w:sz w:val="20"/>
          <w:szCs w:val="20"/>
        </w:rPr>
        <w:t xml:space="preserve">Conformité au Cahier des Charges</w:t>
      </w:r>
    </w:p>
    <w:p>
      <w:pPr>
        <w:pStyle w:val="ListParagraph"/>
        <w:numPr>
          <w:ilvl w:val="0"/>
          <w:numId w:val="2"/>
        </w:numPr>
        <w:spacing w:after="40" w:before="40"/>
      </w:pPr>
      <w:r>
        <w:rPr>
          <w:rFonts w:ascii="Arial" w:cs="Arial" w:eastAsia="Arial" w:hAnsi="Arial"/>
          <w:b w:val="false"/>
          <w:bCs w:val="false"/>
          <w:color w:val="000000"/>
          <w:sz w:val="20"/>
          <w:szCs w:val="20"/>
        </w:rPr>
        <w:t xml:space="preserve">Performances Attendues</w:t>
      </w:r>
    </w:p>
    <w:p>
      <w:pPr>
        <w:pStyle w:val="ListParagraph"/>
        <w:numPr>
          <w:ilvl w:val="0"/>
          <w:numId w:val="2"/>
        </w:numPr>
        <w:spacing w:after="40" w:before="40"/>
      </w:pPr>
      <w:r>
        <w:rPr>
          <w:rFonts w:ascii="Arial" w:cs="Arial" w:eastAsia="Arial" w:hAnsi="Arial"/>
          <w:b w:val="false"/>
          <w:bCs w:val="false"/>
          <w:color w:val="000000"/>
          <w:sz w:val="20"/>
          <w:szCs w:val="20"/>
        </w:rPr>
        <w:t xml:space="preserve">Fiabilité &amp; Continuité de Service</w:t>
      </w:r>
    </w:p>
    <w:p>
      <w:pPr>
        <w:pStyle w:val="ListParagraph"/>
        <w:numPr>
          <w:ilvl w:val="0"/>
          <w:numId w:val="2"/>
        </w:numPr>
        <w:spacing w:after="40" w:before="40"/>
      </w:pPr>
      <w:r>
        <w:rPr>
          <w:rFonts w:ascii="Arial" w:cs="Arial" w:eastAsia="Arial" w:hAnsi="Arial"/>
          <w:b w:val="false"/>
          <w:bCs w:val="false"/>
          <w:color w:val="000000"/>
          <w:sz w:val="20"/>
          <w:szCs w:val="20"/>
        </w:rPr>
        <w:t xml:space="preserve">Couverture REAC AIS — 10 Compétences</w:t>
      </w:r>
    </w:p>
    <w:p>
      <w:pPr>
        <w:pStyle w:val="ListParagraph"/>
        <w:numPr>
          <w:ilvl w:val="0"/>
          <w:numId w:val="2"/>
        </w:numPr>
        <w:spacing w:after="40" w:before="40"/>
      </w:pPr>
      <w:r>
        <w:rPr>
          <w:rFonts w:ascii="Arial" w:cs="Arial" w:eastAsia="Arial" w:hAnsi="Arial"/>
          <w:b w:val="false"/>
          <w:bCs w:val="false"/>
          <w:color w:val="000000"/>
          <w:sz w:val="20"/>
          <w:szCs w:val="20"/>
        </w:rPr>
        <w:t xml:space="preserve">Conclusion</w:t>
      </w:r>
    </w:p>
    <w:p>
      <w:r>
        <w:br w:type="page"/>
      </w:r>
    </w:p>
    <w:p>
      <w:pPr>
        <w:pStyle w:val="Heading1"/>
        <w:spacing w:after="160" w:before="400"/>
      </w:pPr>
      <w:r>
        <w:rPr>
          <w:rFonts w:ascii="Arial" w:cs="Arial" w:eastAsia="Arial" w:hAnsi="Arial"/>
          <w:b/>
          <w:bCs/>
          <w:color w:val="1A3A6B"/>
          <w:sz w:val="38"/>
          <w:szCs w:val="38"/>
        </w:rPr>
        <w:t xml:space="preserve">SECTION 1 — Présentation de Nova Syndicate</w:t>
      </w:r>
    </w:p>
    <w:p>
      <w:pPr>
        <w:pStyle w:val="Heading3"/>
        <w:spacing w:after="80" w:before="180"/>
      </w:pPr>
      <w:r>
        <w:rPr>
          <w:rFonts w:ascii="Arial" w:cs="Arial" w:eastAsia="Arial" w:hAnsi="Arial"/>
          <w:b/>
          <w:bCs/>
          <w:color w:val="2E86C1"/>
          <w:sz w:val="24"/>
          <w:szCs w:val="24"/>
        </w:rPr>
        <w:t xml:space="preserve">Fiche Identité</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c>
          <w:tcPr>
            <w:tcW w:type="dxa" w:w="2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Éléments</w:t>
            </w:r>
          </w:p>
        </w:tc>
        <w:tc>
          <w:tcPr>
            <w:tcW w:type="dxa" w:w="5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Détails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Effectif total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 employés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Siège social (Lyon)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40 personnes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Site Marseille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25 personnes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Personnel nomade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20 commerciaux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Secteur d'activité</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Logistique haute valeur (médical, aérospatial, défense)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Domaines critiques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Conformité réglementaire, traçabilité, sécurité données sensibles</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Contexte de la Mission</w:t>
      </w:r>
    </w:p>
    <w:p>
      <w:pPr>
        <w:spacing w:after="80" w:before="60"/>
      </w:pPr>
      <w:r>
        <w:rPr>
          <w:rFonts w:ascii="Arial" w:cs="Arial" w:eastAsia="Arial" w:hAnsi="Arial"/>
          <w:b w:val="false"/>
          <w:bCs w:val="false"/>
          <w:i w:val="false"/>
          <w:iCs w:val="false"/>
          <w:color w:val="000000"/>
          <w:sz w:val="20"/>
          <w:szCs w:val="20"/>
        </w:rPr>
        <w:t xml:space="preserve">Nova Syndicate opère dans un secteur hautement réglementé requérant des garanties de confidentialité, d'intégrité et de disponibilité des données. L'organisation actuelle présente des failles critiques en matière de gouvernance IT, de segmentation réseau et de continuité de service.</w:t>
      </w:r>
    </w:p>
    <w:p>
      <w:pPr>
        <w:spacing w:after="80" w:before="60"/>
      </w:pPr>
      <w:r>
        <w:rPr>
          <w:rFonts w:ascii="Arial" w:cs="Arial" w:eastAsia="Arial" w:hAnsi="Arial"/>
          <w:b w:val="false"/>
          <w:bCs w:val="false"/>
          <w:i w:val="false"/>
          <w:iCs w:val="false"/>
          <w:color w:val="000000"/>
          <w:sz w:val="20"/>
          <w:szCs w:val="20"/>
        </w:rPr>
        <w:t xml:space="preserve">Cette phase I pose les fondations d'une infrastructure IT moderne, sécurisée et scalable, conforme aux exigences métier et aux cadres de conformité applicables.</w:t>
      </w:r>
    </w:p>
    <w:p>
      <w:pPr>
        <w:spacing w:after="40" w:before="40"/>
      </w:pPr>
      <w:r>
        <w:t xml:space="preserve"/>
      </w:r>
    </w:p>
    <w:p>
      <w:pPr>
        <w:pStyle w:val="Heading3"/>
        <w:spacing w:after="80" w:before="180"/>
      </w:pPr>
      <w:r>
        <w:rPr>
          <w:rFonts w:ascii="Arial" w:cs="Arial" w:eastAsia="Arial" w:hAnsi="Arial"/>
          <w:b/>
          <w:bCs/>
          <w:color w:val="2E86C1"/>
          <w:sz w:val="24"/>
          <w:szCs w:val="24"/>
        </w:rPr>
        <w:t xml:space="preserve">Problèmes Actuels Identifiés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800"/>
      </w:tblGrid>
      <w:tr>
        <w:tc>
          <w:tcPr>
            <w:tcW w:type="dxa" w:w="2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Problème</w:t>
            </w:r>
          </w:p>
        </w:tc>
        <w:tc>
          <w:tcPr>
            <w:tcW w:type="dxa" w:w="3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Risque</w:t>
            </w:r>
          </w:p>
        </w:tc>
        <w:tc>
          <w:tcPr>
            <w:tcW w:type="dxa" w:w="1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Absence d'annuaire centralisé</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incontrôlé aux ressources, auditabilité défaillante</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CRITIQUE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Fichiers partagés SMB sans chiffrement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Vol/exposition de données sensibles</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Base de données SQL sans réplication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Perte de données, indisponibilité métier</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CRITIQUE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Pas de VPN pour nomades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non sécurisé, interception trafic</w:t>
            </w:r>
          </w:p>
        </w:tc>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19"/>
                <w:szCs w:val="19"/>
              </w:rPr>
              <w:t xml:space="preserve">HAUTE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Infrastructure non virtualisée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Absence d'élasticité, coûts CAPEX élevés</w:t>
            </w:r>
          </w:p>
        </w:tc>
        <w:tc>
          <w:tcPr>
            <w:tcW w:type="dxa" w:w="1800"/>
            <w:tcBorders>
              <w:top w:val="single" w:color="CCCCCC" w:sz="1"/>
              <w:left w:val="single" w:color="CCCCCC" w:sz="1"/>
              <w:bottom w:val="single" w:color="CCCCCC" w:sz="1"/>
              <w:right w:val="single" w:color="CCCCCC" w:sz="1"/>
            </w:tcBorders>
            <w:shd w:fill="FCD34D" w:val="clear"/>
            <w:tcMar>
              <w:top w:type="dxa" w:w="80"/>
              <w:left w:type="dxa" w:w="120"/>
              <w:bottom w:type="dxa" w:w="80"/>
              <w:right w:type="dxa" w:w="120"/>
            </w:tcMar>
          </w:tcPr>
          <w:p>
            <w:r>
              <w:rPr>
                <w:rFonts w:ascii="Arial" w:cs="Arial" w:eastAsia="Arial" w:hAnsi="Arial"/>
                <w:b/>
                <w:bCs/>
                <w:color w:val="000000"/>
                <w:sz w:val="19"/>
                <w:szCs w:val="19"/>
              </w:rPr>
              <w:t xml:space="preserve">MOYENNE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Aucun monitoring/alertes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Détection tardive des incidents</w:t>
            </w:r>
          </w:p>
        </w:tc>
        <w:tc>
          <w:tcPr>
            <w:tcW w:type="dxa" w:w="1800"/>
            <w:tcBorders>
              <w:top w:val="single" w:color="CCCCCC" w:sz="1"/>
              <w:left w:val="single" w:color="CCCCCC" w:sz="1"/>
              <w:bottom w:val="single" w:color="CCCCCC" w:sz="1"/>
              <w:right w:val="single" w:color="CCCCCC" w:sz="1"/>
            </w:tcBorders>
            <w:shd w:fill="FCD34D" w:val="clear"/>
            <w:tcMar>
              <w:top w:type="dxa" w:w="80"/>
              <w:left w:type="dxa" w:w="120"/>
              <w:bottom w:type="dxa" w:w="80"/>
              <w:right w:type="dxa" w:w="120"/>
            </w:tcMar>
          </w:tcPr>
          <w:p>
            <w:r>
              <w:rPr>
                <w:rFonts w:ascii="Arial" w:cs="Arial" w:eastAsia="Arial" w:hAnsi="Arial"/>
                <w:b/>
                <w:bCs/>
                <w:color w:val="000000"/>
                <w:sz w:val="19"/>
                <w:szCs w:val="19"/>
              </w:rPr>
              <w:t xml:space="preserve">MOYENNE</w:t>
            </w:r>
          </w:p>
        </w:tc>
      </w:tr>
    </w:tbl>
    <w:p>
      <w:r>
        <w:br w:type="page"/>
      </w:r>
    </w:p>
    <w:p>
      <w:pPr>
        <w:pStyle w:val="Heading1"/>
        <w:spacing w:after="160" w:before="400"/>
      </w:pPr>
      <w:r>
        <w:rPr>
          <w:rFonts w:ascii="Arial" w:cs="Arial" w:eastAsia="Arial" w:hAnsi="Arial"/>
          <w:b/>
          <w:bCs/>
          <w:color w:val="1A3A6B"/>
          <w:sz w:val="38"/>
          <w:szCs w:val="38"/>
        </w:rPr>
        <w:t xml:space="preserve">SECTION 2 — Analyse des Besoins</w:t>
      </w:r>
    </w:p>
    <w:p>
      <w:pPr>
        <w:pStyle w:val="Heading3"/>
        <w:spacing w:after="80" w:before="180"/>
      </w:pPr>
      <w:r>
        <w:rPr>
          <w:rFonts w:ascii="Arial" w:cs="Arial" w:eastAsia="Arial" w:hAnsi="Arial"/>
          <w:b/>
          <w:bCs/>
          <w:color w:val="2E86C1"/>
          <w:sz w:val="24"/>
          <w:szCs w:val="24"/>
        </w:rPr>
        <w:t xml:space="preserve">Besoins Techniques (MoSCoW)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800"/>
      </w:tblGrid>
      <w:tr>
        <w:tc>
          <w:tcPr>
            <w:tcW w:type="dxa" w:w="1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Catégorie</w:t>
            </w:r>
          </w:p>
        </w:tc>
        <w:tc>
          <w:tcPr>
            <w:tcW w:type="dxa" w:w="2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Besoin</w:t>
            </w:r>
          </w:p>
        </w:tc>
        <w:tc>
          <w:tcPr>
            <w:tcW w:type="dxa" w:w="3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 centralisé (Active Directory)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Gestion d'identités, SSO, audit des accès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Partage fichiers sécurisé (DFS-R / SMB 3.1.1)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Chiffrement, intégrité, réplication inter-sites</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SGBD centralisé (SQL Server + 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Haute disponibilité, RPO/RTO &lt; 15 min</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VPN IPSec pour nomades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Sécurisation trafic, conformité</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Segmentation réseau (VLAN)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Isolation domaines sensibles, microsegmentation</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 3-2-1-1-0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Récupération données, respect RGPD</w:t>
            </w:r>
          </w:p>
        </w:tc>
      </w:tr>
      <w:tr>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Virtualisation (Hyper-V)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Flexibilité, optimisation ressources</w:t>
            </w:r>
          </w:p>
        </w:tc>
      </w:tr>
      <w:tr>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Monitoring 24/7 (Prometheus + Grafana)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Alertes temps réel, tendances</w:t>
            </w:r>
          </w:p>
        </w:tc>
      </w:tr>
      <w:tr>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 dédiée (Veeam)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RTO &lt; 4h, interface web</w:t>
            </w:r>
          </w:p>
        </w:tc>
      </w:tr>
      <w:tr>
        <w:tc>
          <w:tcPr>
            <w:tcW w:type="dxa" w:w="14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9"/>
                <w:szCs w:val="19"/>
              </w:rPr>
              <w:t xml:space="preserve">COULD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Analyse logs (ELK Stack)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Forensic, détection anomalies futures</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Besoins Opérationnels</w:t>
      </w:r>
    </w:p>
    <w:p>
      <w:pPr>
        <w:pStyle w:val="ListParagraph"/>
        <w:numPr>
          <w:ilvl w:val="0"/>
          <w:numId w:val="2"/>
        </w:numPr>
        <w:spacing w:after="40" w:before="40"/>
      </w:pPr>
      <w:r>
        <w:rPr>
          <w:rFonts w:ascii="Arial" w:cs="Arial" w:eastAsia="Arial" w:hAnsi="Arial"/>
          <w:b w:val="false"/>
          <w:bCs w:val="false"/>
          <w:color w:val="000000"/>
          <w:sz w:val="20"/>
          <w:szCs w:val="20"/>
        </w:rPr>
        <w:t xml:space="preserve">Disponibilité SLA ≥ 99.5% (maximum 3.6 h interruption/an par service)</w:t>
      </w:r>
    </w:p>
    <w:p>
      <w:pPr>
        <w:pStyle w:val="ListParagraph"/>
        <w:numPr>
          <w:ilvl w:val="0"/>
          <w:numId w:val="2"/>
        </w:numPr>
        <w:spacing w:after="40" w:before="40"/>
      </w:pPr>
      <w:r>
        <w:rPr>
          <w:rFonts w:ascii="Arial" w:cs="Arial" w:eastAsia="Arial" w:hAnsi="Arial"/>
          <w:b w:val="false"/>
          <w:bCs w:val="false"/>
          <w:color w:val="000000"/>
          <w:sz w:val="20"/>
          <w:szCs w:val="20"/>
        </w:rPr>
        <w:t xml:space="preserve">Latence VPN &lt; 80 ms pour nomades (qualité acceptable UX)</w:t>
      </w:r>
    </w:p>
    <w:p>
      <w:pPr>
        <w:pStyle w:val="ListParagraph"/>
        <w:numPr>
          <w:ilvl w:val="0"/>
          <w:numId w:val="2"/>
        </w:numPr>
        <w:spacing w:after="40" w:before="40"/>
      </w:pPr>
      <w:r>
        <w:rPr>
          <w:rFonts w:ascii="Arial" w:cs="Arial" w:eastAsia="Arial" w:hAnsi="Arial"/>
          <w:b w:val="false"/>
          <w:bCs w:val="false"/>
          <w:color w:val="000000"/>
          <w:sz w:val="20"/>
          <w:szCs w:val="20"/>
        </w:rPr>
        <w:t xml:space="preserve">Supports métier multi-sites (Lyon/Marseille) sans dépendance monosite</w:t>
      </w:r>
    </w:p>
    <w:p>
      <w:pPr>
        <w:pStyle w:val="ListParagraph"/>
        <w:numPr>
          <w:ilvl w:val="0"/>
          <w:numId w:val="2"/>
        </w:numPr>
        <w:spacing w:after="40" w:before="40"/>
      </w:pPr>
      <w:r>
        <w:rPr>
          <w:rFonts w:ascii="Arial" w:cs="Arial" w:eastAsia="Arial" w:hAnsi="Arial"/>
          <w:b w:val="false"/>
          <w:bCs w:val="false"/>
          <w:color w:val="000000"/>
          <w:sz w:val="20"/>
          <w:szCs w:val="20"/>
        </w:rPr>
        <w:t xml:space="preserve">Auditabilité complète des accès (log d'AD, partages fichiers, BD)</w:t>
      </w:r>
    </w:p>
    <w:p>
      <w:pPr>
        <w:pStyle w:val="ListParagraph"/>
        <w:numPr>
          <w:ilvl w:val="0"/>
          <w:numId w:val="2"/>
        </w:numPr>
        <w:spacing w:after="40" w:before="40"/>
      </w:pPr>
      <w:r>
        <w:rPr>
          <w:rFonts w:ascii="Arial" w:cs="Arial" w:eastAsia="Arial" w:hAnsi="Arial"/>
          <w:b w:val="false"/>
          <w:bCs w:val="false"/>
          <w:color w:val="000000"/>
          <w:sz w:val="20"/>
          <w:szCs w:val="20"/>
        </w:rPr>
        <w:t xml:space="preserve">Conformité RGPD : chiffrement données sensibles, droit à l'oubli, localité des backups</w:t>
      </w:r>
    </w:p>
    <w:p>
      <w:pPr>
        <w:pStyle w:val="ListParagraph"/>
        <w:numPr>
          <w:ilvl w:val="0"/>
          <w:numId w:val="2"/>
        </w:numPr>
        <w:spacing w:after="40" w:before="40"/>
      </w:pPr>
      <w:r>
        <w:rPr>
          <w:rFonts w:ascii="Arial" w:cs="Arial" w:eastAsia="Arial" w:hAnsi="Arial"/>
          <w:b w:val="false"/>
          <w:bCs w:val="false"/>
          <w:color w:val="000000"/>
          <w:sz w:val="20"/>
          <w:szCs w:val="20"/>
        </w:rPr>
        <w:t xml:space="preserve">Résilience : récupération panne datacenter &lt; 2h</w:t>
      </w:r>
    </w:p>
    <w:p>
      <w:pPr>
        <w:spacing w:after="40" w:before="40"/>
      </w:pPr>
      <w:r>
        <w:t xml:space="preserve"/>
      </w:r>
    </w:p>
    <w:p>
      <w:pPr>
        <w:pStyle w:val="Heading3"/>
        <w:spacing w:after="80" w:before="180"/>
      </w:pPr>
      <w:r>
        <w:rPr>
          <w:rFonts w:ascii="Arial" w:cs="Arial" w:eastAsia="Arial" w:hAnsi="Arial"/>
          <w:b/>
          <w:bCs/>
          <w:color w:val="2E86C1"/>
          <w:sz w:val="24"/>
          <w:szCs w:val="24"/>
        </w:rPr>
        <w:t xml:space="preserve">Contraintes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r>
              <w:rPr>
                <w:rFonts w:ascii="Arial" w:cs="Arial" w:eastAsia="Arial" w:hAnsi="Arial"/>
                <w:b/>
                <w:bCs/>
                <w:color w:val="FFFFFF"/>
                <w:sz w:val="22"/>
                <w:szCs w:val="22"/>
              </w:rPr>
              <w:t xml:space="preserve">  Pour les techniciens</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Technique : Budget matériel limité (VMware trop coûteux → Hyper-V open)</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Sécurité : Données clients haute sensibilité (médical, défense) → chiffrement AES-256 obligatoire</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Organisationnelle : Équipe IT réduite (2 sysadmin) → automation et monitoring critique</w:t>
            </w:r>
          </w:p>
        </w:tc>
      </w:tr>
    </w:tbl>
    <w:p>
      <w:r>
        <w:br w:type="page"/>
      </w:r>
    </w:p>
    <w:p>
      <w:pPr>
        <w:pStyle w:val="Heading1"/>
        <w:spacing w:after="160" w:before="400"/>
      </w:pPr>
      <w:r>
        <w:rPr>
          <w:rFonts w:ascii="Arial" w:cs="Arial" w:eastAsia="Arial" w:hAnsi="Arial"/>
          <w:b/>
          <w:bCs/>
          <w:color w:val="1A3A6B"/>
          <w:sz w:val="38"/>
          <w:szCs w:val="38"/>
        </w:rPr>
        <w:t xml:space="preserve">SECTION 3 — Architecture Proposée</w:t>
      </w:r>
    </w:p>
    <w:p>
      <w:pPr>
        <w:pStyle w:val="Heading3"/>
        <w:spacing w:after="80" w:before="180"/>
      </w:pPr>
      <w:r>
        <w:rPr>
          <w:rFonts w:ascii="Arial" w:cs="Arial" w:eastAsia="Arial" w:hAnsi="Arial"/>
          <w:b/>
          <w:bCs/>
          <w:color w:val="2E86C1"/>
          <w:sz w:val="24"/>
          <w:szCs w:val="24"/>
        </w:rPr>
        <w:t xml:space="preserve">Les 4 Piliers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Disponibilité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Réplication AD inter-sites (RODCs à Marseille)</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SQL Server Always-On AG (réplication synchrone Lyon ↔ Marseille)</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Partage fichiers DFS-R avec replication = 5 min</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Sécurité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Segmentation VLAN : Admin / Données sensibles / Nomades / Invités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VPN IPSec avec MFA (Azure MFA ou Cisco AnyConnect)</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Chiffrement bout-à-bout SMB 3.1.1 + AES-256 NTFS</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Évolutivité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Virtualisation Hyper-V : élasticité CPU/RAM sans changement matériel</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Stockage SAN scalable (RAID 10 pour IOPS critiques)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Load balancing VPN en cascade (1er NAS Gateway + VPN concentration)</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Maintenabilité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Automation PowerShell pour provisioning utilisateurs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Monitoring Prometheus + Grafana (alertes Slack/email)</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Documentation infrastructure-as-code (Terraform future)</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Schéma Logique de l'Infrastructure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6B" w:sz="1"/>
              <w:left w:val="single" w:color="1A3A6B" w:sz="1"/>
              <w:bottom w:val="single" w:color="1A3A6B" w:sz="1"/>
              <w:right w:val="single" w:color="1A3A6B" w:sz="1"/>
            </w:tcBorders>
            <w:shd w:fill="1A3A6B" w:val="clear"/>
            <w:tcMar>
              <w:top w:type="dxa" w:w="60"/>
              <w:left w:type="dxa" w:w="160"/>
              <w:bottom w:type="dxa" w:w="60"/>
              <w:right w:type="dxa" w:w="160"/>
            </w:tcMar>
          </w:tcPr>
          <w:p>
            <w:r>
              <w:rPr>
                <w:rFonts w:ascii="Arial" w:cs="Arial" w:eastAsia="Arial" w:hAnsi="Arial"/>
                <w:b/>
                <w:bCs/>
                <w:color w:val="FFFFFF"/>
                <w:sz w:val="20"/>
                <w:szCs w:val="20"/>
              </w:rPr>
              <w:t xml:space="preserve">  Architecture Globale Nova Syndicate Phase I</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INTERNET (ISP 1 + ISP 2)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WAF │ (Cloudflare)                        │ WAF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Firewall FortiGate (HA / VRRP)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VLAN10           │ VLAN20              │ VLAN30</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(Admin)          │ (Données sensibles) │ (Nomades)</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DC Lyon │      │ SMB/Storage │      │ VPN Gateway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RODC  │      │ + SQL Prim. │      │ (IPSec)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Hyper-│      │   (Tier 1)  │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V Host  │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SQL Repl   │    │  Nomades</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(Marseille)│    │  (VPN Users)</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DC Marseille (RODC)│</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 + Backup local     │</w:t>
            </w:r>
          </w:p>
        </w:tc>
      </w:tr>
      <w:tr>
        <w:tc>
          <w:tcPr>
            <w:tcW w:type="dxa" w:w="9200"/>
            <w:tcBorders>
              <w:top w:val="single" w:color="2D2D2D" w:sz="1"/>
              <w:left w:val="single" w:color="2D2D2D" w:sz="1"/>
              <w:bottom w:val="single" w:color="2D2D2D" w:sz="1"/>
              <w:right w:val="single" w:color="2D2D2D" w:sz="1"/>
            </w:tcBorders>
            <w:shd w:fill="1E1E2E" w:val="clear"/>
            <w:tcMar>
              <w:top w:type="dxa" w:w="20"/>
              <w:left w:type="dxa" w:w="200"/>
              <w:bottom w:type="dxa" w:w="20"/>
              <w:right w:type="dxa" w:w="200"/>
            </w:tcMar>
          </w:tcPr>
          <w:p>
            <w:r>
              <w:rPr>
                <w:rFonts w:ascii="Courier New" w:cs="Courier New" w:eastAsia="Courier New" w:hAnsi="Courier New"/>
                <w:color w:val="50FA7B"/>
                <w:sz w:val="17"/>
                <w:szCs w:val="17"/>
              </w:rPr>
              <w:t xml:space="preserve">  └────────────────────┘</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Tableau des Composants par 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400"/>
      </w:tblGrid>
      <w:tr>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Site</w:t>
            </w:r>
          </w:p>
        </w:tc>
        <w:tc>
          <w:tcPr>
            <w:tcW w:type="dxa" w:w="2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2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Rôle</w:t>
            </w:r>
          </w:p>
        </w:tc>
        <w:tc>
          <w:tcPr>
            <w:tcW w:type="dxa" w:w="2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Spécifications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DC Primaire (Windows Server 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 authentification, DNS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 vCPU, 16 GB RAM, Hyper-V</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Lyon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 2022 (Primary)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Base de données principale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16 vCPU, 32 GB RAM, SAN 500 GB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SMB Share (DFS Namespace)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Partage centralisé chiffré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Storage SAN, RAID 10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Lyon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Hyper-V Cluster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Virtualisation, consolidation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3 nodes, 256 GB RAM total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Backup (Veeam)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 disque 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 TB NAS (RAID 6)</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Marseille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DC Secondaire (RODC)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Réplication AD locale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4 vCPU, 8 GB RAM, Hyper-V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Marseille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 (Secondary / 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Réplication synchrone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 vCPU, 16 GB RAM, SAN 300 GB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Marseille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 (Veeam Proxy)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Proxy + backup local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4 TB NAS (RAID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Nomades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VPN Gateway (IPSec)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Concentration VPN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Firewall dédié ou VM haute performance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Nomades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Clients VPN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sécurisé distant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AnyConnect ou Cisco VPN client</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Plan d'Adressage Réseau</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400"/>
        <w:gridCol w:w="1600"/>
      </w:tblGrid>
      <w:tr>
        <w:tc>
          <w:tcPr>
            <w:tcW w:type="dxa" w:w="1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VLAN</w:t>
            </w:r>
          </w:p>
        </w:tc>
        <w:tc>
          <w:tcPr>
            <w:tcW w:type="dxa" w:w="1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Plage IP</w:t>
            </w:r>
          </w:p>
        </w:tc>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Sous-réseau</w:t>
            </w:r>
          </w:p>
        </w:tc>
        <w:tc>
          <w:tcPr>
            <w:tcW w:type="dxa" w:w="24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Usage</w:t>
            </w:r>
          </w:p>
        </w:tc>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Routage</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000000"/>
                <w:sz w:val="19"/>
                <w:szCs w:val="19"/>
              </w:rPr>
              <w:t xml:space="preserve">VLAN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10.0.1.0/24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10.0.1.0–10.0.1.255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Infrastructure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restreint</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000000"/>
                <w:sz w:val="19"/>
                <w:szCs w:val="19"/>
              </w:rPr>
              <w:t xml:space="preserve">VLAN 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10.0.2.0/24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10.0.2.0–10.0.2.255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Données sensibles (SMB, SQL)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Microsegmentation</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000000"/>
                <w:sz w:val="19"/>
                <w:szCs w:val="19"/>
              </w:rPr>
              <w:t xml:space="preserve">VLAN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10.0.3.0/24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10.0.3.0–10.0.3.255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Utilisateurs 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normal</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000000"/>
                <w:sz w:val="19"/>
                <w:szCs w:val="19"/>
              </w:rPr>
              <w:t xml:space="preserve">VLAN 40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10.0.4.0/24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10.0.4.0–10.0.4.255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Nomades (VPN)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Split tunneling disabled</w:t>
            </w:r>
          </w:p>
        </w:tc>
      </w:tr>
      <w:tr>
        <w:tc>
          <w:tcPr>
            <w:tcW w:type="dxa" w:w="12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r>
              <w:rPr>
                <w:rFonts w:ascii="Arial" w:cs="Arial" w:eastAsia="Arial" w:hAnsi="Arial"/>
                <w:b/>
                <w:bCs/>
                <w:color w:val="000000"/>
                <w:sz w:val="19"/>
                <w:szCs w:val="19"/>
              </w:rPr>
              <w:t xml:space="preserve">VLAN 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10.0.5.0/24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10.0.5.0–10.0.5.255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Invités / Visiteurs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Isolé, pas de données</w:t>
            </w:r>
          </w:p>
        </w:tc>
      </w:tr>
    </w:tbl>
    <w:p>
      <w:r>
        <w:br w:type="page"/>
      </w:r>
    </w:p>
    <w:p>
      <w:pPr>
        <w:pStyle w:val="Heading1"/>
        <w:spacing w:after="160" w:before="400"/>
      </w:pPr>
      <w:r>
        <w:rPr>
          <w:rFonts w:ascii="Arial" w:cs="Arial" w:eastAsia="Arial" w:hAnsi="Arial"/>
          <w:b/>
          <w:bCs/>
          <w:color w:val="1A3A6B"/>
          <w:sz w:val="38"/>
          <w:szCs w:val="38"/>
        </w:rPr>
        <w:t xml:space="preserve">SECTION 4 — Conformité au Cahier des Charges</w:t>
      </w:r>
    </w:p>
    <w:p>
      <w:pPr>
        <w:spacing w:after="80" w:before="60"/>
      </w:pPr>
      <w:r>
        <w:rPr>
          <w:rFonts w:ascii="Arial" w:cs="Arial" w:eastAsia="Arial" w:hAnsi="Arial"/>
          <w:b w:val="false"/>
          <w:bCs w:val="false"/>
          <w:i w:val="false"/>
          <w:iCs w:val="false"/>
          <w:color w:val="000000"/>
          <w:sz w:val="20"/>
          <w:szCs w:val="20"/>
        </w:rPr>
        <w:t xml:space="preserve">Cette section démontre la couverture complète des exigences métier par l'architecture proposée.</w:t>
      </w:r>
    </w:p>
    <w:p>
      <w:pPr>
        <w:spacing w:after="40" w:before="40"/>
      </w:pPr>
      <w:r>
        <w:t xml:space="preserve"/>
      </w:r>
    </w:p>
    <w:p>
      <w:pPr>
        <w:pStyle w:val="Heading3"/>
        <w:spacing w:after="80" w:before="180"/>
      </w:pPr>
      <w:r>
        <w:rPr>
          <w:rFonts w:ascii="Arial" w:cs="Arial" w:eastAsia="Arial" w:hAnsi="Arial"/>
          <w:b/>
          <w:bCs/>
          <w:color w:val="2E86C1"/>
          <w:sz w:val="24"/>
          <w:szCs w:val="24"/>
        </w:rPr>
        <w:t xml:space="preserve">Tableau de Couverture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000"/>
      </w:tblGrid>
      <w:tr>
        <w:tc>
          <w:tcPr>
            <w:tcW w:type="dxa" w:w="1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Besoin Identifié</w:t>
            </w:r>
          </w:p>
        </w:tc>
        <w:tc>
          <w:tcPr>
            <w:tcW w:type="dxa" w:w="1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Solution Retenue</w:t>
            </w:r>
          </w:p>
        </w:tc>
        <w:tc>
          <w:tcPr>
            <w:tcW w:type="dxa" w:w="2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c>
          <w:tcPr>
            <w:tcW w:type="dxa" w:w="20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Critère Évaluation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Gestion centralisée identités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Directory 2022 (AD)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SSO, audit log, intégration native Windows/Office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Conformité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Partage fichiers sécurisé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SMB 3.1.1 + DFS-R avec AES-256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Chiffrement bout-à-bout, réplication inter-sites &lt; 5 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Conformité + Performances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BD haute disponibilité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 2022 Always-On 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RPO = 0 (sync), RTO &lt; 5 min failover automatique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Conformité + Fiabilité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Accès nomades sécurisé</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VPN IPSec + MFA (Azure AD)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Chiffrement tunnel, authentification multifacteur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Conformité + Sécurité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Segmentation réseau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Firewall + VLAN (10.0.x.0/24)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Isolation logique, ACLs restrictifs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Sécurité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 résiliente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Veeam 3-2-1-1-0 (disque+cloud)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3 copies, 2 médias différents, 1 distant chiffré</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Fiabilité + Conformité RGPD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Monitoring proactif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Prometheus + Grafana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Alertes temps réel, dashboards, historique 1 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Performances + Fiabilité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Virtualisation flexible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Hyper-V Cluster (free → coûts)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Consolidation serveurs, évolutivité sans CAPEX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Évolutivité + Maintenabilité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Automation provisioning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PowerShell DSC + scripts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Déploiement reproductible, réduction manuelle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Maintenabilité</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Reprise sur sinistre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Plan DR : basculement Marseille &lt; 2h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Réplication synchrone, scripts failover testés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Fiabilité + Conformité</w:t>
            </w:r>
          </w:p>
        </w:tc>
      </w:tr>
    </w:tbl>
    <w:p>
      <w:r>
        <w:br w:type="page"/>
      </w:r>
    </w:p>
    <w:p>
      <w:pPr>
        <w:pStyle w:val="Heading1"/>
        <w:spacing w:after="160" w:before="400"/>
      </w:pPr>
      <w:r>
        <w:rPr>
          <w:rFonts w:ascii="Arial" w:cs="Arial" w:eastAsia="Arial" w:hAnsi="Arial"/>
          <w:b/>
          <w:bCs/>
          <w:color w:val="1A3A6B"/>
          <w:sz w:val="38"/>
          <w:szCs w:val="38"/>
        </w:rPr>
        <w:t xml:space="preserve">SECTION 5 — Performances Attendues</w:t>
      </w:r>
    </w:p>
    <w:p>
      <w:pPr>
        <w:pStyle w:val="Heading3"/>
        <w:spacing w:after="80" w:before="180"/>
      </w:pPr>
      <w:r>
        <w:rPr>
          <w:rFonts w:ascii="Arial" w:cs="Arial" w:eastAsia="Arial" w:hAnsi="Arial"/>
          <w:b/>
          <w:bCs/>
          <w:color w:val="2E86C1"/>
          <w:sz w:val="24"/>
          <w:szCs w:val="24"/>
        </w:rPr>
        <w:t xml:space="preserve">SLA &amp; Métriques Cibles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800"/>
      </w:tblGrid>
      <w:tr>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SLA</w:t>
            </w:r>
          </w:p>
        </w:tc>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RTO</w:t>
            </w:r>
          </w:p>
        </w:tc>
        <w:tc>
          <w:tcPr>
            <w:tcW w:type="dxa" w:w="16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RPO</w:t>
            </w:r>
          </w:p>
        </w:tc>
        <w:tc>
          <w:tcPr>
            <w:tcW w:type="dxa" w:w="1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Directory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 min (basculement RODC)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1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Réplication multi-sites, DC primaire + RODC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Données (SMB)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99.5%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&lt; 30 min (failover manual)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&lt; 5 min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DFS-R avec replication rapide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5 min (AG failover 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min (sync)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Always-On AG synchrone Lyon-Marseille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VPN Nomades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99.0%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15 min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&lt; 30 sec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Redondance ISP, tunnel IPSec résilient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Sauvegarde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4h (Veeam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1h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RPO journalier + snapshots horaires</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Latence Réseau</w:t>
      </w:r>
    </w:p>
    <w:p>
      <w:pPr>
        <w:pStyle w:val="ListParagraph"/>
        <w:numPr>
          <w:ilvl w:val="0"/>
          <w:numId w:val="2"/>
        </w:numPr>
        <w:spacing w:after="40" w:before="40"/>
      </w:pPr>
      <w:r>
        <w:rPr>
          <w:rFonts w:ascii="Arial" w:cs="Arial" w:eastAsia="Arial" w:hAnsi="Arial"/>
          <w:b w:val="false"/>
          <w:bCs w:val="false"/>
          <w:color w:val="000000"/>
          <w:sz w:val="20"/>
          <w:szCs w:val="20"/>
        </w:rPr>
        <w:t xml:space="preserve">VPN Lyon → Nomade : &lt; 80 ms (cible acceptable UX)</w:t>
      </w:r>
    </w:p>
    <w:p>
      <w:pPr>
        <w:pStyle w:val="ListParagraph"/>
        <w:numPr>
          <w:ilvl w:val="0"/>
          <w:numId w:val="2"/>
        </w:numPr>
        <w:spacing w:after="40" w:before="40"/>
      </w:pPr>
      <w:r>
        <w:rPr>
          <w:rFonts w:ascii="Arial" w:cs="Arial" w:eastAsia="Arial" w:hAnsi="Arial"/>
          <w:b w:val="false"/>
          <w:bCs w:val="false"/>
          <w:color w:val="000000"/>
          <w:sz w:val="20"/>
          <w:szCs w:val="20"/>
        </w:rPr>
        <w:t xml:space="preserve">Réplication SQL Lyon ↔ Marseille : &lt; 50 ms (LAN haute vitesse)</w:t>
      </w:r>
    </w:p>
    <w:p>
      <w:pPr>
        <w:pStyle w:val="ListParagraph"/>
        <w:numPr>
          <w:ilvl w:val="0"/>
          <w:numId w:val="2"/>
        </w:numPr>
        <w:spacing w:after="40" w:before="40"/>
      </w:pPr>
      <w:r>
        <w:rPr>
          <w:rFonts w:ascii="Arial" w:cs="Arial" w:eastAsia="Arial" w:hAnsi="Arial"/>
          <w:b w:val="false"/>
          <w:bCs w:val="false"/>
          <w:color w:val="000000"/>
          <w:sz w:val="20"/>
          <w:szCs w:val="20"/>
        </w:rPr>
        <w:t xml:space="preserve">DNS (AD) : &lt; 10 ms (même réseau local)</w:t>
      </w:r>
    </w:p>
    <w:p>
      <w:pPr>
        <w:pStyle w:val="ListParagraph"/>
        <w:numPr>
          <w:ilvl w:val="0"/>
          <w:numId w:val="2"/>
        </w:numPr>
        <w:spacing w:after="40" w:before="40"/>
      </w:pPr>
      <w:r>
        <w:rPr>
          <w:rFonts w:ascii="Arial" w:cs="Arial" w:eastAsia="Arial" w:hAnsi="Arial"/>
          <w:b w:val="false"/>
          <w:bCs w:val="false"/>
          <w:color w:val="000000"/>
          <w:sz w:val="20"/>
          <w:szCs w:val="20"/>
        </w:rPr>
        <w:t xml:space="preserve">Partage SMB : &lt; 5 ms (accès local), &lt; 50 ms (inter-sites)</w:t>
      </w:r>
    </w:p>
    <w:p>
      <w:pPr>
        <w:spacing w:after="40" w:before="40"/>
      </w:pPr>
      <w:r>
        <w:t xml:space="preserve"/>
      </w:r>
    </w:p>
    <w:p>
      <w:pPr>
        <w:pStyle w:val="Heading3"/>
        <w:spacing w:after="80" w:before="180"/>
      </w:pPr>
      <w:r>
        <w:rPr>
          <w:rFonts w:ascii="Arial" w:cs="Arial" w:eastAsia="Arial" w:hAnsi="Arial"/>
          <w:b/>
          <w:bCs/>
          <w:color w:val="2E86C1"/>
          <w:sz w:val="24"/>
          <w:szCs w:val="24"/>
        </w:rPr>
        <w:t xml:space="preserve">Capacité &amp; Charge</w:t>
      </w:r>
    </w:p>
    <w:p>
      <w:pPr>
        <w:pStyle w:val="ListParagraph"/>
        <w:numPr>
          <w:ilvl w:val="0"/>
          <w:numId w:val="2"/>
        </w:numPr>
        <w:spacing w:after="40" w:before="40"/>
      </w:pPr>
      <w:r>
        <w:rPr>
          <w:rFonts w:ascii="Arial" w:cs="Arial" w:eastAsia="Arial" w:hAnsi="Arial"/>
          <w:b w:val="false"/>
          <w:bCs w:val="false"/>
          <w:color w:val="000000"/>
          <w:sz w:val="20"/>
          <w:szCs w:val="20"/>
        </w:rPr>
        <w:t xml:space="preserve">AD : 1000 utilisateurs/objets max (overhead 15%)</w:t>
      </w:r>
    </w:p>
    <w:p>
      <w:pPr>
        <w:pStyle w:val="ListParagraph"/>
        <w:numPr>
          <w:ilvl w:val="0"/>
          <w:numId w:val="2"/>
        </w:numPr>
        <w:spacing w:after="40" w:before="40"/>
      </w:pPr>
      <w:r>
        <w:rPr>
          <w:rFonts w:ascii="Arial" w:cs="Arial" w:eastAsia="Arial" w:hAnsi="Arial"/>
          <w:b w:val="false"/>
          <w:bCs w:val="false"/>
          <w:color w:val="000000"/>
          <w:sz w:val="20"/>
          <w:szCs w:val="20"/>
        </w:rPr>
        <w:t xml:space="preserve">SQL Server : 10,000 transactions/sec, 500 GB données (croissance 20%/an)</w:t>
      </w:r>
    </w:p>
    <w:p>
      <w:pPr>
        <w:pStyle w:val="ListParagraph"/>
        <w:numPr>
          <w:ilvl w:val="0"/>
          <w:numId w:val="2"/>
        </w:numPr>
        <w:spacing w:after="40" w:before="40"/>
      </w:pPr>
      <w:r>
        <w:rPr>
          <w:rFonts w:ascii="Arial" w:cs="Arial" w:eastAsia="Arial" w:hAnsi="Arial"/>
          <w:b w:val="false"/>
          <w:bCs w:val="false"/>
          <w:color w:val="000000"/>
          <w:sz w:val="20"/>
          <w:szCs w:val="20"/>
        </w:rPr>
        <w:t xml:space="preserve">SMB : 5 TB données opérationnelles (croissance 2 TB/an)</w:t>
      </w:r>
    </w:p>
    <w:p>
      <w:pPr>
        <w:pStyle w:val="ListParagraph"/>
        <w:numPr>
          <w:ilvl w:val="0"/>
          <w:numId w:val="2"/>
        </w:numPr>
        <w:spacing w:after="40" w:before="40"/>
      </w:pPr>
      <w:r>
        <w:rPr>
          <w:rFonts w:ascii="Arial" w:cs="Arial" w:eastAsia="Arial" w:hAnsi="Arial"/>
          <w:b w:val="false"/>
          <w:bCs w:val="false"/>
          <w:color w:val="000000"/>
          <w:sz w:val="20"/>
          <w:szCs w:val="20"/>
        </w:rPr>
        <w:t xml:space="preserve">VPN : 20 utilisateurs nomades simultanés, bande passante 10 Mbps par connexion</w:t>
      </w:r>
    </w:p>
    <w:p>
      <w:r>
        <w:br w:type="page"/>
      </w:r>
    </w:p>
    <w:p>
      <w:pPr>
        <w:pStyle w:val="Heading1"/>
        <w:spacing w:after="160" w:before="400"/>
      </w:pPr>
      <w:r>
        <w:rPr>
          <w:rFonts w:ascii="Arial" w:cs="Arial" w:eastAsia="Arial" w:hAnsi="Arial"/>
          <w:b/>
          <w:bCs/>
          <w:color w:val="1A3A6B"/>
          <w:sz w:val="38"/>
          <w:szCs w:val="38"/>
        </w:rPr>
        <w:t xml:space="preserve">SECTION 6 — Fiabilité &amp; Continuité de Service</w:t>
      </w:r>
    </w:p>
    <w:p>
      <w:pPr>
        <w:pStyle w:val="Heading3"/>
        <w:spacing w:after="80" w:before="180"/>
      </w:pPr>
      <w:r>
        <w:rPr>
          <w:rFonts w:ascii="Arial" w:cs="Arial" w:eastAsia="Arial" w:hAnsi="Arial"/>
          <w:b/>
          <w:bCs/>
          <w:color w:val="2E86C1"/>
          <w:sz w:val="24"/>
          <w:szCs w:val="24"/>
        </w:rPr>
        <w:t xml:space="preserve">Matrice des Risques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3200"/>
      </w:tblGrid>
      <w:tr>
        <w:tc>
          <w:tcPr>
            <w:tcW w:type="dxa" w:w="1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Risque</w:t>
            </w:r>
          </w:p>
        </w:tc>
        <w:tc>
          <w:tcPr>
            <w:tcW w:type="dxa" w:w="1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Probabilité</w:t>
            </w:r>
          </w:p>
        </w:tc>
        <w:tc>
          <w:tcPr>
            <w:tcW w:type="dxa" w:w="1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Défaillance DC primaire</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000000"/>
                <w:sz w:val="19"/>
                <w:szCs w:val="19"/>
              </w:rPr>
              <w:t xml:space="preserve">Basse</w:t>
            </w:r>
          </w:p>
        </w:tc>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r>
              <w:rPr>
                <w:rFonts w:ascii="Arial" w:cs="Arial" w:eastAsia="Arial" w:hAnsi="Arial"/>
                <w:b/>
                <w:bCs/>
                <w:color w:val="000000"/>
                <w:sz w:val="19"/>
                <w:szCs w:val="19"/>
              </w:rPr>
              <w:t xml:space="preserve">Critique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RODC Marseille basculement, scripts failover automatisés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Corruption données SQL</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000000"/>
                <w:sz w:val="19"/>
                <w:szCs w:val="19"/>
              </w:rPr>
              <w:t xml:space="preserve">Très basse</w:t>
            </w:r>
          </w:p>
        </w:tc>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r>
              <w:rPr>
                <w:rFonts w:ascii="Arial" w:cs="Arial" w:eastAsia="Arial" w:hAnsi="Arial"/>
                <w:b/>
                <w:bCs/>
                <w:color w:val="000000"/>
                <w:sz w:val="19"/>
                <w:szCs w:val="19"/>
              </w:rPr>
              <w:t xml:space="preserve">Critique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Backup Veeam journalier, test mensuel de restore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Perte trafic inter-sites</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000000"/>
                <w:sz w:val="19"/>
                <w:szCs w:val="19"/>
              </w:rPr>
              <w:t xml:space="preserve">Basse</w:t>
            </w:r>
          </w:p>
        </w:tc>
        <w:tc>
          <w:tcPr>
            <w:tcW w:type="dxa" w:w="1200"/>
            <w:tcBorders>
              <w:top w:val="single" w:color="CCCCCC" w:sz="1"/>
              <w:left w:val="single" w:color="CCCCCC" w:sz="1"/>
              <w:bottom w:val="single" w:color="CCCCCC" w:sz="1"/>
              <w:right w:val="single" w:color="CCCCCC" w:sz="1"/>
            </w:tcBorders>
            <w:shd w:fill="FCD34D" w:val="clear"/>
            <w:tcMar>
              <w:top w:type="dxa" w:w="80"/>
              <w:left w:type="dxa" w:w="120"/>
              <w:bottom w:type="dxa" w:w="80"/>
              <w:right w:type="dxa" w:w="120"/>
            </w:tcMar>
          </w:tcPr>
          <w:p>
            <w:r>
              <w:rPr>
                <w:rFonts w:ascii="Arial" w:cs="Arial" w:eastAsia="Arial" w:hAnsi="Arial"/>
                <w:b/>
                <w:bCs/>
                <w:color w:val="000000"/>
                <w:sz w:val="19"/>
                <w:szCs w:val="19"/>
              </w:rPr>
              <w:t xml:space="preserve">Haute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Dual ISP, équilibrage charge, keepalive tunnel IPSec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Indisponibilité SMB</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000000"/>
                <w:sz w:val="19"/>
                <w:szCs w:val="19"/>
              </w:rPr>
              <w:t xml:space="preserve">Très basse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9"/>
                <w:szCs w:val="19"/>
              </w:rPr>
              <w:t xml:space="preserve">Moyenne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DFS-R réplication, snapshot Veeam horaire, NAS RAID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Compromission VPN</w:t>
            </w:r>
          </w:p>
        </w:tc>
        <w:tc>
          <w:tcPr>
            <w:tcW w:type="dxa" w:w="1200"/>
            <w:tcBorders>
              <w:top w:val="single" w:color="CCCCCC" w:sz="1"/>
              <w:left w:val="single" w:color="CCCCCC" w:sz="1"/>
              <w:bottom w:val="single" w:color="CCCCCC" w:sz="1"/>
              <w:right w:val="single" w:color="CCCCCC" w:sz="1"/>
            </w:tcBorders>
            <w:shd w:fill="FCD34D" w:val="clear"/>
            <w:tcMar>
              <w:top w:type="dxa" w:w="80"/>
              <w:left w:type="dxa" w:w="120"/>
              <w:bottom w:type="dxa" w:w="80"/>
              <w:right w:type="dxa" w:w="120"/>
            </w:tcMar>
          </w:tcPr>
          <w:p>
            <w:r>
              <w:rPr>
                <w:rFonts w:ascii="Arial" w:cs="Arial" w:eastAsia="Arial" w:hAnsi="Arial"/>
                <w:b/>
                <w:bCs/>
                <w:color w:val="000000"/>
                <w:sz w:val="19"/>
                <w:szCs w:val="19"/>
              </w:rPr>
              <w:t xml:space="preserve">Moyenne</w:t>
            </w:r>
          </w:p>
        </w:tc>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r>
              <w:rPr>
                <w:rFonts w:ascii="Arial" w:cs="Arial" w:eastAsia="Arial" w:hAnsi="Arial"/>
                <w:b/>
                <w:bCs/>
                <w:color w:val="000000"/>
                <w:sz w:val="19"/>
                <w:szCs w:val="19"/>
              </w:rPr>
              <w:t xml:space="preserve">Critique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MFA Azure AD, certificats ECC, audit logs d'accès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Panne datacenter complet</w:t>
            </w:r>
          </w:p>
        </w:tc>
        <w:tc>
          <w:tcPr>
            <w:tcW w:type="dxa" w:w="1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000000"/>
                <w:sz w:val="19"/>
                <w:szCs w:val="19"/>
              </w:rPr>
              <w:t xml:space="preserve">Très basse</w:t>
            </w:r>
          </w:p>
        </w:tc>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r>
              <w:rPr>
                <w:rFonts w:ascii="Arial" w:cs="Arial" w:eastAsia="Arial" w:hAnsi="Arial"/>
                <w:b/>
                <w:bCs/>
                <w:color w:val="000000"/>
                <w:sz w:val="19"/>
                <w:szCs w:val="19"/>
              </w:rPr>
              <w:t xml:space="preserve">Critique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Réplication synchrone Marseille, basculement &lt; 2h manuel</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Stratégie de Sauvegarde 3-2-1-1-0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r>
              <w:rPr>
                <w:rFonts w:ascii="Arial" w:cs="Arial" w:eastAsia="Arial" w:hAnsi="Arial"/>
                <w:b/>
                <w:bCs/>
                <w:color w:val="FFFFFF"/>
                <w:sz w:val="22"/>
                <w:szCs w:val="22"/>
              </w:rPr>
              <w:t xml:space="preserve">  Pour les techniciens</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3 copies : Original (SAN) + Backup disque (Veeam local) + Cloud (Azure, chiffré)</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2 médias : SAN (synchrone) + Disque NAS (asynchrone)</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1 hors-site : Cloud Azure geo-redundant (région EU secondary)</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1 air-gappé : Tape trimestrielle (archivage légal, compliance)</w:t>
            </w:r>
          </w:p>
        </w:tc>
      </w:tr>
      <w:tr>
        <w:tc>
          <w:tcPr>
            <w:tcW w:type="dxa" w:w="9200"/>
            <w:tcBorders>
              <w:top w:val="single" w:color="1A2F5A" w:sz="1"/>
              <w:left w:val="single" w:color="1A2F5A" w:sz="1"/>
              <w:bottom w:val="single" w:color="1A2F5A" w:sz="1"/>
              <w:right w:val="single" w:color="1A2F5A" w:sz="1"/>
            </w:tcBorders>
            <w:shd w:fill="D5E8F0" w:val="clear"/>
            <w:tcMar>
              <w:top w:type="dxa" w:w="60"/>
              <w:left w:type="dxa" w:w="160"/>
              <w:bottom w:type="dxa" w:w="60"/>
              <w:right w:type="dxa" w:w="160"/>
            </w:tcMar>
          </w:tcPr>
          <w:p>
            <w:pPr>
              <w:spacing w:after="30" w:before="30"/>
            </w:pPr>
            <w:r>
              <w:rPr>
                <w:rFonts w:ascii="Arial" w:cs="Arial" w:eastAsia="Arial" w:hAnsi="Arial"/>
                <w:sz w:val="20"/>
                <w:szCs w:val="20"/>
              </w:rPr>
              <w:t xml:space="preserve">0 mauvaise restoration : Test mensuel de restore complet</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Plan de Continuité Détaillé</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700"/>
      </w:tblGrid>
      <w:tr>
        <w:tc>
          <w:tcPr>
            <w:tcW w:type="dxa" w:w="20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25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Durée Max Indisponibilité</w:t>
            </w:r>
          </w:p>
        </w:tc>
        <w:tc>
          <w:tcPr>
            <w:tcW w:type="dxa" w:w="37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Processus Basculement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DC Primaire (Lyon)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5 min manuel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RODC Marseille auto-active, test DNS forward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 Primaire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&lt; 5 min auto</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 AG failover automatique, clients reconnexion (retry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SMB / Partages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30 min manuel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Basculement manuel DFS-R primary, revalidation clients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VPN Gateway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&lt; 15 min</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 Basculement vers 2e concentrateur (hot standby)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Firewall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 5 min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Pair HA actif-passif (VRRP), pas d'interruption</w:t>
            </w:r>
          </w:p>
        </w:tc>
      </w:tr>
    </w:tbl>
    <w:p>
      <w:r>
        <w:br w:type="page"/>
      </w:r>
    </w:p>
    <w:p>
      <w:pPr>
        <w:pStyle w:val="Heading1"/>
        <w:spacing w:after="160" w:before="400"/>
      </w:pPr>
      <w:r>
        <w:rPr>
          <w:rFonts w:ascii="Arial" w:cs="Arial" w:eastAsia="Arial" w:hAnsi="Arial"/>
          <w:b/>
          <w:bCs/>
          <w:color w:val="1A3A6B"/>
          <w:sz w:val="38"/>
          <w:szCs w:val="38"/>
        </w:rPr>
        <w:t xml:space="preserve">SECTION 7 — Couverture REAC AIS (10 Compétences)</w:t>
      </w:r>
    </w:p>
    <w:p>
      <w:pPr>
        <w:spacing w:after="80" w:before="60"/>
      </w:pPr>
      <w:r>
        <w:rPr>
          <w:rFonts w:ascii="Arial" w:cs="Arial" w:eastAsia="Arial" w:hAnsi="Arial"/>
          <w:b w:val="false"/>
          <w:bCs w:val="false"/>
          <w:i w:val="false"/>
          <w:iCs w:val="false"/>
          <w:color w:val="000000"/>
          <w:sz w:val="20"/>
          <w:szCs w:val="20"/>
        </w:rPr>
        <w:t xml:space="preserve">Le référentiel REAC AIS (Référentiel de Compétences en Administration de Systèmes et Sécurité Informatique) évalue 10 compétences-clés. La solution Nova Syndicate Phase I couvre les points suivants :</w:t>
      </w:r>
    </w:p>
    <w:p>
      <w:pPr>
        <w:spacing w:after="40" w:before="4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00"/>
      </w:tblGrid>
      <w:tr>
        <w:tc>
          <w:tcPr>
            <w:tcW w:type="dxa" w:w="8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Compétence</w:t>
            </w:r>
          </w:p>
        </w:tc>
        <w:tc>
          <w:tcPr>
            <w:tcW w:type="dxa" w:w="22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Intitulé</w:t>
            </w:r>
          </w:p>
        </w:tc>
        <w:tc>
          <w:tcPr>
            <w:tcW w:type="dxa" w:w="4500"/>
            <w:tcBorders>
              <w:top w:val="single" w:color="1A3A6B" w:sz="1"/>
              <w:left w:val="single" w:color="1A3A6B" w:sz="1"/>
              <w:bottom w:val="single" w:color="1A3A6B" w:sz="1"/>
              <w:right w:val="single" w:color="1A3A6B" w:sz="1"/>
            </w:tcBorders>
            <w:shd w:fill="1A2F5A" w:val="clear"/>
            <w:tcMar>
              <w:top w:type="dxa" w:w="80"/>
              <w:left w:type="dxa" w:w="120"/>
              <w:bottom w:type="dxa" w:w="80"/>
              <w:right w:type="dxa" w:w="120"/>
            </w:tcMar>
          </w:tcPr>
          <w:p>
            <w:r>
              <w:rPr>
                <w:rFonts w:ascii="Arial" w:cs="Arial" w:eastAsia="Arial" w:hAnsi="Arial"/>
                <w:b/>
                <w:bCs/>
                <w:color w:val="FFFFFF"/>
                <w:sz w:val="19"/>
                <w:szCs w:val="19"/>
              </w:rPr>
              <w:t xml:space="preserve">Couverture Nova Syndicate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Installer et configurer le matériel informatique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Hyper-V cluster, virtualisation serveurs, pas de matériel dédié (consolidation)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CP2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Administrer et maintenir les annuaires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Directory 2022, RODC Marseille, réplication, délégation droits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Gérer les comptes utilisateurs &amp; groupes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Provisioning PowerShell, audit AD, compliance traçabilité</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CP4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Sécuriser les accès réseaux</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VLAN segmentation, VPN IPSec, MFA, firewall ACLs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Administrer &amp; sécuriser les bases de données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Server Always-On, chiffrement TDE, audit accès BD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CP6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Gérer les systèmes de fichiers &amp; stockage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SMB 3.1.1, DFS-R, NTFS AES-256, quota disque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CP7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Assurer la sauvegarde &amp; récupération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Veeam 3-2-1-1-0, test mensuel, RPO/RTO documenté</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CP8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Monitorer &amp; optimiser performances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Prometheus + Grafana, alertes, tuning capacité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CP9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Implémenter la continuité &amp; récupération de service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DR &lt; 2h, failover AG, RODC local, documentation runbook</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CP10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Respecter les cadres réglementaires (RGPD, etc.)</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Chiffrement, audit logs, droit à l'oubli, localité backups</w:t>
            </w:r>
          </w:p>
        </w:tc>
      </w:tr>
    </w:tbl>
    <w:p>
      <w:r>
        <w:br w:type="page"/>
      </w:r>
    </w:p>
    <w:p>
      <w:pPr>
        <w:pStyle w:val="Heading1"/>
        <w:spacing w:after="160" w:before="400"/>
      </w:pPr>
      <w:r>
        <w:rPr>
          <w:rFonts w:ascii="Arial" w:cs="Arial" w:eastAsia="Arial" w:hAnsi="Arial"/>
          <w:b/>
          <w:bCs/>
          <w:color w:val="1A3A6B"/>
          <w:sz w:val="38"/>
          <w:szCs w:val="38"/>
        </w:rPr>
        <w:t xml:space="preserve">CONCLUSION</w:t>
      </w:r>
    </w:p>
    <w:p>
      <w:pPr>
        <w:spacing w:after="80" w:before="60"/>
      </w:pPr>
      <w:r>
        <w:rPr>
          <w:rFonts w:ascii="Arial" w:cs="Arial" w:eastAsia="Arial" w:hAnsi="Arial"/>
          <w:b w:val="false"/>
          <w:bCs w:val="false"/>
          <w:i w:val="false"/>
          <w:iCs w:val="false"/>
          <w:color w:val="000000"/>
          <w:sz w:val="20"/>
          <w:szCs w:val="20"/>
        </w:rPr>
        <w:t xml:space="preserve">L'architecture proposée pour Nova Syndicate Phase I répond complètement au cahier des charges défini pour les 85 employés répartis sur 2 sites (Lyon/Marseille) + nomades. Les trois critères d'évaluation stratégiques sont garantis :</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Conformité au cahier des charges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AD centralisée avec RODC local → gestion identités sécurisée</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SMB 3.1.1 + DFS-R → partage fichiers chiffré inter-sites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SQL Server 2022 Always-On AG → haute disponibilité BD</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VPN IPSec + MFA → accès nomades sécurisé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VLAN segmentation → isolation domaines sensibles</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Performances attendues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SLA 99.5% (maximum 3.6h interruption/an)</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Latence VPN &lt; 80 ms (qualité UX acceptable)</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RTO/RPO optimisés : SQL &lt; 5 min, SMB &lt; 30 min, AD &lt; 5 min</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Fiabilité &amp; continuité</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Matrice risques identifiés + mitigations</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Stratégie sauvegarde 3-2-1-1-0 avec test mensuel</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Plan DR basculement &lt; 2h vers Marseille</w:t>
            </w:r>
          </w:p>
        </w:tc>
      </w:tr>
      <w:tr>
        <w:tc>
          <w:tcPr>
            <w:tcW w:type="dxa" w:w="9200"/>
            <w:tcBorders>
              <w:top w:val="single" w:color="27AE60" w:sz="1"/>
              <w:left w:val="single" w:color="27AE60" w:sz="1"/>
              <w:bottom w:val="single" w:color="27AE60" w:sz="1"/>
              <w:right w:val="single" w:color="27AE60" w:sz="1"/>
            </w:tcBorders>
            <w:shd w:fill="E8F8F0" w:val="clear"/>
            <w:tcMar>
              <w:top w:type="dxa" w:w="60"/>
              <w:left w:type="dxa" w:w="160"/>
              <w:bottom w:type="dxa" w:w="60"/>
              <w:right w:type="dxa" w:w="160"/>
            </w:tcMar>
          </w:tcPr>
          <w:p>
            <w:pPr>
              <w:spacing w:after="30" w:before="30"/>
            </w:pPr>
            <w:r>
              <w:rPr>
                <w:rFonts w:ascii="Arial" w:cs="Arial" w:eastAsia="Arial" w:hAnsi="Arial"/>
                <w:sz w:val="20"/>
                <w:szCs w:val="20"/>
              </w:rPr>
              <w:t xml:space="preserve">✓ Réplication synchrone SQL (RPO = 0)</w:t>
            </w:r>
          </w:p>
        </w:tc>
      </w:tr>
    </w:tbl>
    <w:p>
      <w:pPr>
        <w:spacing w:after="40" w:before="40"/>
      </w:pPr>
      <w:r>
        <w:t xml:space="preserve"/>
      </w:r>
    </w:p>
    <w:p>
      <w:pPr>
        <w:pStyle w:val="Heading3"/>
        <w:spacing w:after="80" w:before="180"/>
      </w:pPr>
      <w:r>
        <w:rPr>
          <w:rFonts w:ascii="Arial" w:cs="Arial" w:eastAsia="Arial" w:hAnsi="Arial"/>
          <w:b/>
          <w:bCs/>
          <w:color w:val="2E86C1"/>
          <w:sz w:val="24"/>
          <w:szCs w:val="24"/>
        </w:rPr>
        <w:t xml:space="preserve">Prochaines Étapes (Phase II)</w:t>
      </w:r>
    </w:p>
    <w:p>
      <w:pPr>
        <w:pStyle w:val="ListParagraph"/>
        <w:numPr>
          <w:ilvl w:val="0"/>
          <w:numId w:val="2"/>
        </w:numPr>
        <w:spacing w:after="40" w:before="40"/>
      </w:pPr>
      <w:r>
        <w:rPr>
          <w:rFonts w:ascii="Arial" w:cs="Arial" w:eastAsia="Arial" w:hAnsi="Arial"/>
          <w:b w:val="false"/>
          <w:bCs w:val="false"/>
          <w:color w:val="000000"/>
          <w:sz w:val="20"/>
          <w:szCs w:val="20"/>
        </w:rPr>
        <w:t xml:space="preserve">Validation budget &amp; approbation direction</w:t>
      </w:r>
    </w:p>
    <w:p>
      <w:pPr>
        <w:pStyle w:val="ListParagraph"/>
        <w:numPr>
          <w:ilvl w:val="0"/>
          <w:numId w:val="2"/>
        </w:numPr>
        <w:spacing w:after="40" w:before="40"/>
      </w:pPr>
      <w:r>
        <w:rPr>
          <w:rFonts w:ascii="Arial" w:cs="Arial" w:eastAsia="Arial" w:hAnsi="Arial"/>
          <w:b w:val="false"/>
          <w:bCs w:val="false"/>
          <w:color w:val="000000"/>
          <w:sz w:val="20"/>
          <w:szCs w:val="20"/>
        </w:rPr>
        <w:t xml:space="preserve">Planning acquisition matériel (1-2 mois procurement)</w:t>
      </w:r>
    </w:p>
    <w:p>
      <w:pPr>
        <w:pStyle w:val="ListParagraph"/>
        <w:numPr>
          <w:ilvl w:val="0"/>
          <w:numId w:val="2"/>
        </w:numPr>
        <w:spacing w:after="40" w:before="40"/>
      </w:pPr>
      <w:r>
        <w:rPr>
          <w:rFonts w:ascii="Arial" w:cs="Arial" w:eastAsia="Arial" w:hAnsi="Arial"/>
          <w:b w:val="false"/>
          <w:bCs w:val="false"/>
          <w:color w:val="000000"/>
          <w:sz w:val="20"/>
          <w:szCs w:val="20"/>
        </w:rPr>
        <w:t xml:space="preserve">Déploiement infrastructure (3-4 mois)</w:t>
      </w:r>
    </w:p>
    <w:p>
      <w:pPr>
        <w:pStyle w:val="ListParagraph"/>
        <w:numPr>
          <w:ilvl w:val="0"/>
          <w:numId w:val="2"/>
        </w:numPr>
        <w:spacing w:after="40" w:before="40"/>
      </w:pPr>
      <w:r>
        <w:rPr>
          <w:rFonts w:ascii="Arial" w:cs="Arial" w:eastAsia="Arial" w:hAnsi="Arial"/>
          <w:b w:val="false"/>
          <w:bCs w:val="false"/>
          <w:color w:val="000000"/>
          <w:sz w:val="20"/>
          <w:szCs w:val="20"/>
        </w:rPr>
        <w:t xml:space="preserve">Migration données et tests failover (2 mois)</w:t>
      </w:r>
    </w:p>
    <w:p>
      <w:pPr>
        <w:pStyle w:val="ListParagraph"/>
        <w:numPr>
          <w:ilvl w:val="0"/>
          <w:numId w:val="2"/>
        </w:numPr>
        <w:spacing w:after="40" w:before="40"/>
      </w:pPr>
      <w:r>
        <w:rPr>
          <w:rFonts w:ascii="Arial" w:cs="Arial" w:eastAsia="Arial" w:hAnsi="Arial"/>
          <w:b w:val="false"/>
          <w:bCs w:val="false"/>
          <w:color w:val="000000"/>
          <w:sz w:val="20"/>
          <w:szCs w:val="20"/>
        </w:rPr>
        <w:t xml:space="preserve">Formation équipe IT et utilisateurs (1 mois)</w:t>
      </w:r>
    </w:p>
    <w:p>
      <w:pPr>
        <w:pStyle w:val="ListParagraph"/>
        <w:numPr>
          <w:ilvl w:val="0"/>
          <w:numId w:val="2"/>
        </w:numPr>
        <w:spacing w:after="40" w:before="40"/>
      </w:pPr>
      <w:r>
        <w:rPr>
          <w:rFonts w:ascii="Arial" w:cs="Arial" w:eastAsia="Arial" w:hAnsi="Arial"/>
          <w:b w:val="false"/>
          <w:bCs w:val="false"/>
          <w:color w:val="000000"/>
          <w:sz w:val="20"/>
          <w:szCs w:val="20"/>
        </w:rPr>
        <w:t xml:space="preserve">Mise en production progressive</w:t>
      </w:r>
    </w:p>
    <w:p>
      <w:pPr>
        <w:spacing w:after="40" w:before="40"/>
      </w:pPr>
      <w:r>
        <w:t xml:space="preserve"/>
      </w:r>
    </w:p>
    <w:p>
      <w:pPr>
        <w:spacing w:after="0" w:before="400"/>
        <w:jc w:val="center"/>
      </w:pPr>
      <w:r>
        <w:rPr>
          <w:rFonts w:ascii="Arial" w:cs="Arial" w:eastAsia="Arial" w:hAnsi="Arial"/>
          <w:i/>
          <w:iCs/>
          <w:color w:val="555555"/>
          <w:sz w:val="20"/>
          <w:szCs w:val="20"/>
        </w:rPr>
        <w:t xml:space="preserve">— Fin du Rapport —</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pPr>
    <w:r>
      <w:rPr>
        <w:rFonts w:ascii="Arial" w:cs="Arial" w:eastAsia="Arial" w:hAnsi="Arial"/>
        <w:color w:val="555555"/>
        <w:sz w:val="17"/>
        <w:szCs w:val="17"/>
      </w:rPr>
      <w:t xml:space="preserve">Nova Syndicate | Phase I — Rapport d'Analyse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A2F5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2026-04-13T12:45:55.466Z</dcterms:created>
  <dcterms:modified xsi:type="dcterms:W3CDTF">2026-04-13T12:45:55.467Z</dcterms:modified>
</cp:coreProperties>
</file>

<file path=docProps/custom.xml><?xml version="1.0" encoding="utf-8"?>
<Properties xmlns="http://schemas.openxmlformats.org/officeDocument/2006/custom-properties" xmlns:vt="http://schemas.openxmlformats.org/officeDocument/2006/docPropsVTypes"/>
</file>