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2"/>
          <w:szCs w:val="52"/>
        </w:rPr>
        <w:t xml:space="preserve">NOVA SYNDICATE</w:t>
      </w:r>
    </w:p>
    <w:p>
      <w:pPr>
        <w:spacing w:after="100" w:before="0"/>
        <w:jc w:val="center"/>
      </w:pPr>
      <w:r>
        <w:rPr>
          <w:rFonts w:ascii="Arial" w:cs="Arial" w:eastAsia="Arial" w:hAnsi="Arial"/>
          <w:i/>
          <w:iCs/>
          <w:color w:val="2E86C1"/>
          <w:sz w:val="30"/>
          <w:szCs w:val="30"/>
        </w:rPr>
        <w:t xml:space="preserve">Infrastructure Sécurisée — Phase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3A5C" w:val="clear"/>
            <w:tcMar>
              <w:top w:type="dxa" w:w="200"/>
              <w:left w:type="dxa" w:w="400"/>
              <w:bottom w:type="dxa" w:w="200"/>
              <w:right w:type="dxa" w:w="400"/>
            </w:tcMar>
          </w:tcPr>
          <w:p>
            <w:pPr>
              <w:jc w:val="center"/>
            </w:pPr>
            <w:r>
              <w:rPr>
                <w:rFonts w:ascii="Arial" w:cs="Arial" w:eastAsia="Arial" w:hAnsi="Arial"/>
                <w:b/>
                <w:bCs/>
                <w:color w:val="FFFFFF"/>
                <w:sz w:val="44"/>
                <w:szCs w:val="44"/>
              </w:rPr>
              <w:t xml:space="preserve">ANALYSE CAPEX / OPEX</w:t>
            </w:r>
          </w:p>
          <w:p>
            <w:pPr>
              <w:jc w:val="center"/>
            </w:pPr>
            <w:r>
              <w:rPr>
                <w:rFonts w:ascii="Arial" w:cs="Arial" w:eastAsia="Arial" w:hAnsi="Arial"/>
                <w:i/>
                <w:iCs/>
                <w:color w:val="D6EAF8"/>
                <w:sz w:val="26"/>
                <w:szCs w:val="26"/>
              </w:rPr>
              <w:t xml:space="preserve">Comparaison TCO 5 ans — 3 Scénarios</w:t>
            </w:r>
          </w:p>
        </w:tc>
      </w:tr>
    </w:tbl>
    <w:p>
      <w:pPr>
        <w:spacing w:after="0" w:before="0"/>
      </w:pPr>
      <w:r>
        <w:t xml:space="preserve"/>
      </w:r>
    </w:p>
    <w:p>
      <w:pPr>
        <w:spacing w:after="80" w:before="200"/>
        <w:jc w:val="center"/>
      </w:pPr>
      <w:r>
        <w:rPr>
          <w:rFonts w:ascii="Arial" w:cs="Arial" w:eastAsia="Arial" w:hAnsi="Arial"/>
          <w:color w:val="1E8449"/>
          <w:sz w:val="22"/>
          <w:szCs w:val="22"/>
        </w:rPr>
        <w:t xml:space="preserve">Scénario A — Light Open Source  |  </w:t>
      </w:r>
      <w:r>
        <w:rPr>
          <w:rFonts w:ascii="Arial" w:cs="Arial" w:eastAsia="Arial" w:hAnsi="Arial"/>
          <w:b/>
          <w:bCs/>
          <w:color w:val="2E86C1"/>
          <w:sz w:val="22"/>
          <w:szCs w:val="22"/>
        </w:rPr>
        <w:t xml:space="preserve">Scénario B — Balanced ★  |  </w:t>
      </w:r>
      <w:r>
        <w:rPr>
          <w:rFonts w:ascii="Arial" w:cs="Arial" w:eastAsia="Arial" w:hAnsi="Arial"/>
          <w:color w:val="C0392B"/>
          <w:sz w:val="22"/>
          <w:szCs w:val="22"/>
        </w:rPr>
        <w:t xml:space="preserve">Scénario C — Enterprise</w:t>
      </w:r>
    </w:p>
    <w:p>
      <w:pPr>
        <w:spacing w:after="80" w:before="80"/>
        <w:jc w:val="center"/>
      </w:pPr>
      <w:r>
        <w:rPr>
          <w:rFonts w:ascii="Arial" w:cs="Arial" w:eastAsia="Arial" w:hAnsi="Arial"/>
          <w:color w:val="555555"/>
          <w:sz w:val="20"/>
          <w:szCs w:val="20"/>
        </w:rPr>
        <w:t xml:space="preserve">Conformité : ANSSI · ISO 27001:2022 · RGPD · ITIL 4</w:t>
      </w:r>
    </w:p>
    <w:p>
      <w:pPr>
        <w:spacing w:after="80" w:before="80"/>
        <w:jc w:val="center"/>
      </w:pPr>
      <w:r>
        <w:rPr>
          <w:rFonts w:ascii="Arial" w:cs="Arial" w:eastAsia="Arial" w:hAnsi="Arial"/>
          <w:color w:val="555555"/>
          <w:sz w:val="20"/>
          <w:szCs w:val="20"/>
        </w:rPr>
        <w:t xml:space="preserve">Version 1.0 — Avril 2026  |  CONFIDENTIEL</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4"/>
        </w:pBdr>
        <w:spacing w:after="160" w:before="320"/>
      </w:pPr>
      <w:r>
        <w:rPr>
          <w:rFonts w:ascii="Arial" w:cs="Arial" w:eastAsia="Arial" w:hAnsi="Arial"/>
          <w:b/>
          <w:bCs/>
          <w:color w:val="1A3A5C"/>
          <w:sz w:val="36"/>
          <w:szCs w:val="36"/>
        </w:rPr>
        <w:t xml:space="preserve">1. Définitions et Méthode d'Analyse</w:t>
      </w:r>
    </w:p>
    <w:p>
      <w:pPr>
        <w:pStyle w:val="Heading2"/>
        <w:spacing w:after="100" w:before="240"/>
      </w:pPr>
      <w:r>
        <w:rPr>
          <w:rFonts w:ascii="Arial" w:cs="Arial" w:eastAsia="Arial" w:hAnsi="Arial"/>
          <w:b/>
          <w:bCs/>
          <w:color w:val="2E86C1"/>
          <w:sz w:val="28"/>
          <w:szCs w:val="28"/>
        </w:rPr>
        <w:t xml:space="preserve">1.1 CAPEX — Dépenses en Capital</w:t>
      </w:r>
    </w:p>
    <w:p>
      <w:pPr>
        <w:spacing w:after="80" w:before="80"/>
        <w:jc w:val="left"/>
      </w:pPr>
      <w:r>
        <w:rPr>
          <w:rFonts w:ascii="Arial" w:cs="Arial" w:eastAsia="Arial" w:hAnsi="Arial"/>
          <w:b w:val="false"/>
          <w:bCs w:val="false"/>
          <w:i w:val="false"/>
          <w:iCs w:val="false"/>
          <w:color w:val="000000"/>
          <w:sz w:val="22"/>
          <w:szCs w:val="22"/>
        </w:rPr>
        <w:t xml:space="preserve">Les dépenses en capital (Capital Expenditures) représentent les investissements initiaux nécessaires à l'acquisition et à l'installation des actifs physiques et logiciels de l'infrastructure. Ces dépenses sont généralement amorties sur plusieurs années.</w:t>
      </w:r>
    </w:p>
    <w:p>
      <w:pPr>
        <w:pStyle w:val="ListParagraph"/>
        <w:numPr>
          <w:ilvl w:val="0"/>
          <w:numId w:val="2"/>
        </w:numPr>
        <w:spacing w:after="40" w:before="40"/>
      </w:pPr>
      <w:r>
        <w:rPr>
          <w:rFonts w:ascii="Arial" w:cs="Arial" w:eastAsia="Arial" w:hAnsi="Arial"/>
          <w:b w:val="false"/>
          <w:bCs w:val="false"/>
          <w:sz w:val="22"/>
          <w:szCs w:val="22"/>
        </w:rPr>
        <w:t xml:space="preserve">Matériel physique : serveurs, commutateurs, baies, câblage</w:t>
      </w:r>
    </w:p>
    <w:p>
      <w:pPr>
        <w:pStyle w:val="ListParagraph"/>
        <w:numPr>
          <w:ilvl w:val="0"/>
          <w:numId w:val="2"/>
        </w:numPr>
        <w:spacing w:after="40" w:before="40"/>
      </w:pPr>
      <w:r>
        <w:rPr>
          <w:rFonts w:ascii="Arial" w:cs="Arial" w:eastAsia="Arial" w:hAnsi="Arial"/>
          <w:b w:val="false"/>
          <w:bCs w:val="false"/>
          <w:sz w:val="22"/>
          <w:szCs w:val="22"/>
        </w:rPr>
        <w:t xml:space="preserve">Licences logicielles perpétuelles : OS, hyperviseur, SIEM</w:t>
      </w:r>
    </w:p>
    <w:p>
      <w:pPr>
        <w:pStyle w:val="ListParagraph"/>
        <w:numPr>
          <w:ilvl w:val="0"/>
          <w:numId w:val="2"/>
        </w:numPr>
        <w:spacing w:after="40" w:before="40"/>
      </w:pPr>
      <w:r>
        <w:rPr>
          <w:rFonts w:ascii="Arial" w:cs="Arial" w:eastAsia="Arial" w:hAnsi="Arial"/>
          <w:b w:val="false"/>
          <w:bCs w:val="false"/>
          <w:sz w:val="22"/>
          <w:szCs w:val="22"/>
        </w:rPr>
        <w:t xml:space="preserve">Infrastructure réseau : pare-feu, switches, onduleurs</w:t>
      </w:r>
    </w:p>
    <w:p>
      <w:pPr>
        <w:pStyle w:val="ListParagraph"/>
        <w:numPr>
          <w:ilvl w:val="0"/>
          <w:numId w:val="2"/>
        </w:numPr>
        <w:spacing w:after="40" w:before="40"/>
      </w:pPr>
      <w:r>
        <w:rPr>
          <w:rFonts w:ascii="Arial" w:cs="Arial" w:eastAsia="Arial" w:hAnsi="Arial"/>
          <w:b w:val="false"/>
          <w:bCs w:val="false"/>
          <w:sz w:val="22"/>
          <w:szCs w:val="22"/>
        </w:rPr>
        <w:t xml:space="preserve">Coûts d'installation et de déploiement initial</w:t>
      </w:r>
    </w:p>
    <w:p>
      <w:pPr>
        <w:pStyle w:val="ListParagraph"/>
        <w:numPr>
          <w:ilvl w:val="0"/>
          <w:numId w:val="2"/>
        </w:numPr>
        <w:spacing w:after="40" w:before="40"/>
      </w:pPr>
      <w:r>
        <w:rPr>
          <w:rFonts w:ascii="Arial" w:cs="Arial" w:eastAsia="Arial" w:hAnsi="Arial"/>
          <w:b w:val="false"/>
          <w:bCs w:val="false"/>
          <w:sz w:val="22"/>
          <w:szCs w:val="22"/>
        </w:rPr>
        <w:t xml:space="preserve">Formation initiale des équipes (intégrée au projet)</w:t>
      </w:r>
    </w:p>
    <w:p>
      <w:pPr>
        <w:spacing w:after="0" w:before="0"/>
      </w:pPr>
      <w:r>
        <w:t xml:space="preserve"/>
      </w:r>
    </w:p>
    <w:p>
      <w:pPr>
        <w:pStyle w:val="Heading2"/>
        <w:spacing w:after="100" w:before="240"/>
      </w:pPr>
      <w:r>
        <w:rPr>
          <w:rFonts w:ascii="Arial" w:cs="Arial" w:eastAsia="Arial" w:hAnsi="Arial"/>
          <w:b/>
          <w:bCs/>
          <w:color w:val="2E86C1"/>
          <w:sz w:val="28"/>
          <w:szCs w:val="28"/>
        </w:rPr>
        <w:t xml:space="preserve">1.2 OPEX — Dépenses d'Exploitation</w:t>
      </w:r>
    </w:p>
    <w:p>
      <w:pPr>
        <w:spacing w:after="80" w:before="80"/>
        <w:jc w:val="left"/>
      </w:pPr>
      <w:r>
        <w:rPr>
          <w:rFonts w:ascii="Arial" w:cs="Arial" w:eastAsia="Arial" w:hAnsi="Arial"/>
          <w:b w:val="false"/>
          <w:bCs w:val="false"/>
          <w:i w:val="false"/>
          <w:iCs w:val="false"/>
          <w:color w:val="000000"/>
          <w:sz w:val="22"/>
          <w:szCs w:val="22"/>
        </w:rPr>
        <w:t xml:space="preserve">Les dépenses d'exploitation (Operational Expenditures) sont les coûts récurrents liés au fonctionnement quotidien de l'infrastructure. Contrairement aux CAPEX, elles sont intégralement déduites dans l'exercice fiscal en cours.</w:t>
      </w:r>
    </w:p>
    <w:p>
      <w:pPr>
        <w:pStyle w:val="ListParagraph"/>
        <w:numPr>
          <w:ilvl w:val="0"/>
          <w:numId w:val="2"/>
        </w:numPr>
        <w:spacing w:after="40" w:before="40"/>
      </w:pPr>
      <w:r>
        <w:rPr>
          <w:rFonts w:ascii="Arial" w:cs="Arial" w:eastAsia="Arial" w:hAnsi="Arial"/>
          <w:b w:val="false"/>
          <w:bCs w:val="false"/>
          <w:sz w:val="22"/>
          <w:szCs w:val="22"/>
        </w:rPr>
        <w:t xml:space="preserve">Abonnements et licences annuels (cloud, support, SaaS)</w:t>
      </w:r>
    </w:p>
    <w:p>
      <w:pPr>
        <w:pStyle w:val="ListParagraph"/>
        <w:numPr>
          <w:ilvl w:val="0"/>
          <w:numId w:val="2"/>
        </w:numPr>
        <w:spacing w:after="40" w:before="40"/>
      </w:pPr>
      <w:r>
        <w:rPr>
          <w:rFonts w:ascii="Arial" w:cs="Arial" w:eastAsia="Arial" w:hAnsi="Arial"/>
          <w:b w:val="false"/>
          <w:bCs w:val="false"/>
          <w:sz w:val="22"/>
          <w:szCs w:val="22"/>
        </w:rPr>
        <w:t xml:space="preserve">Coût hébergement cloud et stockage S3</w:t>
      </w:r>
    </w:p>
    <w:p>
      <w:pPr>
        <w:pStyle w:val="ListParagraph"/>
        <w:numPr>
          <w:ilvl w:val="0"/>
          <w:numId w:val="2"/>
        </w:numPr>
        <w:spacing w:after="40" w:before="40"/>
      </w:pPr>
      <w:r>
        <w:rPr>
          <w:rFonts w:ascii="Arial" w:cs="Arial" w:eastAsia="Arial" w:hAnsi="Arial"/>
          <w:b w:val="false"/>
          <w:bCs w:val="false"/>
          <w:sz w:val="22"/>
          <w:szCs w:val="22"/>
        </w:rPr>
        <w:t xml:space="preserve">Maintenance et mises à jour logicielles</w:t>
      </w:r>
    </w:p>
    <w:p>
      <w:pPr>
        <w:pStyle w:val="ListParagraph"/>
        <w:numPr>
          <w:ilvl w:val="0"/>
          <w:numId w:val="2"/>
        </w:numPr>
        <w:spacing w:after="40" w:before="40"/>
      </w:pPr>
      <w:r>
        <w:rPr>
          <w:rFonts w:ascii="Arial" w:cs="Arial" w:eastAsia="Arial" w:hAnsi="Arial"/>
          <w:b w:val="false"/>
          <w:bCs w:val="false"/>
          <w:sz w:val="22"/>
          <w:szCs w:val="22"/>
        </w:rPr>
        <w:t xml:space="preserve">Support technique (abonnements constructeurs)</w:t>
      </w:r>
    </w:p>
    <w:p>
      <w:pPr>
        <w:pStyle w:val="ListParagraph"/>
        <w:numPr>
          <w:ilvl w:val="0"/>
          <w:numId w:val="2"/>
        </w:numPr>
        <w:spacing w:after="40" w:before="40"/>
      </w:pPr>
      <w:r>
        <w:rPr>
          <w:rFonts w:ascii="Arial" w:cs="Arial" w:eastAsia="Arial" w:hAnsi="Arial"/>
          <w:b w:val="false"/>
          <w:bCs w:val="false"/>
          <w:sz w:val="22"/>
          <w:szCs w:val="22"/>
        </w:rPr>
        <w:t xml:space="preserve">Formations continues et certifications</w:t>
      </w:r>
    </w:p>
    <w:p>
      <w:pPr>
        <w:pStyle w:val="ListParagraph"/>
        <w:numPr>
          <w:ilvl w:val="0"/>
          <w:numId w:val="2"/>
        </w:numPr>
        <w:spacing w:after="40" w:before="40"/>
      </w:pPr>
      <w:r>
        <w:rPr>
          <w:rFonts w:ascii="Arial" w:cs="Arial" w:eastAsia="Arial" w:hAnsi="Arial"/>
          <w:b w:val="false"/>
          <w:bCs w:val="false"/>
          <w:sz w:val="22"/>
          <w:szCs w:val="22"/>
        </w:rPr>
        <w:t xml:space="preserve">Coûts énergie (estimation PUE 1,4 sur datacenter Lyon)</w:t>
      </w:r>
    </w:p>
    <w:p>
      <w:pPr>
        <w:spacing w:after="0" w:before="0"/>
      </w:pPr>
      <w:r>
        <w:t xml:space="preserve"/>
      </w:r>
    </w:p>
    <w:p>
      <w:pPr>
        <w:pStyle w:val="Heading2"/>
        <w:spacing w:after="100" w:before="240"/>
      </w:pPr>
      <w:r>
        <w:rPr>
          <w:rFonts w:ascii="Arial" w:cs="Arial" w:eastAsia="Arial" w:hAnsi="Arial"/>
          <w:b/>
          <w:bCs/>
          <w:color w:val="2E86C1"/>
          <w:sz w:val="28"/>
          <w:szCs w:val="28"/>
        </w:rPr>
        <w:t xml:space="preserve">1.3 TCO — Coût Total de Possession sur 5 ans</w:t>
      </w:r>
    </w:p>
    <w:p>
      <w:pPr>
        <w:spacing w:after="80" w:before="80"/>
        <w:jc w:val="left"/>
      </w:pPr>
      <w:r>
        <w:rPr>
          <w:rFonts w:ascii="Arial" w:cs="Arial" w:eastAsia="Arial" w:hAnsi="Arial"/>
          <w:b w:val="false"/>
          <w:bCs w:val="false"/>
          <w:i w:val="false"/>
          <w:iCs w:val="false"/>
          <w:color w:val="000000"/>
          <w:sz w:val="22"/>
          <w:szCs w:val="22"/>
        </w:rPr>
        <w:t xml:space="preserve">Le Coût Total de Possession (Total Cost of Ownership) permet de comparer équitablement des solutions de natures différentes (achat vs abonnement, open source vs propriétaire). Il intègre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938"/>
      </w:tblGrid>
      <w:tr>
        <w:tc>
          <w:tcPr>
            <w:tcW w:type="dxa" w:w="32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Composante</w:t>
            </w:r>
          </w:p>
        </w:tc>
        <w:tc>
          <w:tcPr>
            <w:tcW w:type="dxa" w:w="35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c>
          <w:tcPr>
            <w:tcW w:type="dxa" w:w="29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Inclus dans TCO 5 ans</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CAPEX initial</w:t>
            </w:r>
          </w:p>
        </w:tc>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Investissement année 1</w:t>
            </w:r>
          </w:p>
        </w:tc>
        <w:tc>
          <w:tcPr>
            <w:tcW w:type="dxa" w:w="29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Oui</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OPEX annuel × 5</w:t>
            </w:r>
          </w:p>
        </w:tc>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Charges récurrentes</w:t>
            </w:r>
          </w:p>
        </w:tc>
        <w:tc>
          <w:tcPr>
            <w:tcW w:type="dxa" w:w="29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Oui</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Coûts cachés</w:t>
            </w:r>
          </w:p>
        </w:tc>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Intégration, tests, docs</w:t>
            </w:r>
          </w:p>
        </w:tc>
        <w:tc>
          <w:tcPr>
            <w:tcW w:type="dxa" w:w="29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Oui (estimés)</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Coûts RH</w:t>
            </w:r>
          </w:p>
        </w:tc>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Temps admin IT interne</w:t>
            </w:r>
          </w:p>
        </w:tc>
        <w:tc>
          <w:tcPr>
            <w:tcW w:type="dxa" w:w="29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Hors périmètre</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Évolutions majeures</w:t>
            </w:r>
          </w:p>
        </w:tc>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Remplacement matériel &gt; 5 ans</w:t>
            </w:r>
          </w:p>
        </w:tc>
        <w:tc>
          <w:tcPr>
            <w:tcW w:type="dxa" w:w="29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Hors périmètre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8449"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SCÉNARIO A — LIGHT : Open Source Maximal</w:t>
            </w:r>
          </w:p>
        </w:tc>
      </w:tr>
    </w:tbl>
    <w:p>
      <w:pPr>
        <w:spacing w:after="0" w:before="0"/>
      </w:pPr>
      <w:r>
        <w:t xml:space="preserve"/>
      </w:r>
    </w:p>
    <w:p>
      <w:pPr>
        <w:pStyle w:val="Heading1"/>
        <w:pBdr>
          <w:bottom w:val="single" w:color="2E86C1" w:sz="8" w:space="4"/>
        </w:pBdr>
        <w:spacing w:after="160" w:before="320"/>
      </w:pPr>
      <w:r>
        <w:rPr>
          <w:rFonts w:ascii="Arial" w:cs="Arial" w:eastAsia="Arial" w:hAnsi="Arial"/>
          <w:b/>
          <w:bCs/>
          <w:color w:val="1A3A5C"/>
          <w:sz w:val="36"/>
          <w:szCs w:val="36"/>
        </w:rPr>
        <w:t xml:space="preserve">2. Scénario A — Light Open Source</w:t>
      </w:r>
    </w:p>
    <w:p>
      <w:pPr>
        <w:pStyle w:val="Heading2"/>
        <w:spacing w:after="100" w:before="240"/>
      </w:pPr>
      <w:r>
        <w:rPr>
          <w:rFonts w:ascii="Arial" w:cs="Arial" w:eastAsia="Arial" w:hAnsi="Arial"/>
          <w:b/>
          <w:bCs/>
          <w:color w:val="2E86C1"/>
          <w:sz w:val="28"/>
          <w:szCs w:val="28"/>
        </w:rPr>
        <w:t xml:space="preserve">2.1 Principes et Choix Technologiques</w:t>
      </w:r>
    </w:p>
    <w:p>
      <w:pPr>
        <w:spacing w:after="80" w:before="80"/>
        <w:jc w:val="left"/>
      </w:pPr>
      <w:r>
        <w:rPr>
          <w:rFonts w:ascii="Arial" w:cs="Arial" w:eastAsia="Arial" w:hAnsi="Arial"/>
          <w:b w:val="false"/>
          <w:bCs w:val="false"/>
          <w:i w:val="false"/>
          <w:iCs w:val="false"/>
          <w:color w:val="000000"/>
          <w:sz w:val="22"/>
          <w:szCs w:val="22"/>
        </w:rPr>
        <w:t xml:space="preserve">Ce scénario maximise l'utilisation des solutions open source gratuites. Il est adapté à une petite équipe IT autonome acceptant de gérer soi-même les mises à jour, la maintenance et le support. La dépendance aux éditeurs commerciaux est quasi nulle.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638"/>
      </w:tblGrid>
      <w:tr>
        <w:tc>
          <w:tcPr>
            <w:tcW w:type="dxa" w:w="28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Composant</w:t>
            </w:r>
          </w:p>
        </w:tc>
        <w:tc>
          <w:tcPr>
            <w:tcW w:type="dxa" w:w="28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Solution retenue</w:t>
            </w:r>
          </w:p>
        </w:tc>
        <w:tc>
          <w:tcPr>
            <w:tcW w:type="dxa" w:w="24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Licence</w:t>
            </w:r>
          </w:p>
        </w:tc>
        <w:tc>
          <w:tcPr>
            <w:tcW w:type="dxa" w:w="1638"/>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Hyperviseur</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Proxmox VE</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AGPLv3 — Gratuit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8.x</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Active Directory</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Samba4 AD DC</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GPLv3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4.18+</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Pare-feu / VPN</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pfSense CE</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Apache 2.0 — Gratuit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2.7.x</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EDR / SIEM</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Wazuh Open Source</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GPLv2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4.7.x</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Sauvegarde</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Veeam Community Ed.</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Gratuit (5 VMs max)</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12.x</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Monitoring</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Prometheus + Grafana</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Apache 2.0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Latest</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Stockage S3</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Wasabi Hot Cloud</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Payant — 0,0069 $/Go</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SaaS</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Ticketing</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GLPI</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GPLv2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10.x</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Antivirus</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ClamAV</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GPLv2 — Gratuit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Latest</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2.2 Détail CAPEX — Scénario A</w:t>
      </w:r>
    </w:p>
    <w:p>
      <w:pPr>
        <w:spacing w:after="80" w:before="80"/>
        <w:jc w:val="left"/>
      </w:pPr>
      <w:r>
        <w:rPr>
          <w:rFonts w:ascii="Arial" w:cs="Arial" w:eastAsia="Arial" w:hAnsi="Arial"/>
          <w:b w:val="false"/>
          <w:bCs w:val="false"/>
          <w:i w:val="false"/>
          <w:iCs w:val="false"/>
          <w:color w:val="000000"/>
          <w:sz w:val="22"/>
          <w:szCs w:val="22"/>
        </w:rPr>
        <w:t xml:space="preserve">Investissement initial nécessaire à l'acquisition du matériel et à la mise en œuvre.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100"/>
        <w:gridCol w:w="1100"/>
        <w:gridCol w:w="2038"/>
      </w:tblGrid>
      <w:tr>
        <w:tc>
          <w:tcPr>
            <w:tcW w:type="dxa" w:w="35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CAPEX</w:t>
            </w:r>
          </w:p>
        </w:tc>
        <w:tc>
          <w:tcPr>
            <w:tcW w:type="dxa" w:w="9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Quantité</w:t>
            </w:r>
          </w:p>
        </w:tc>
        <w:tc>
          <w:tcPr>
            <w:tcW w:type="dxa" w:w="11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 HT</w:t>
            </w:r>
          </w:p>
        </w:tc>
        <w:tc>
          <w:tcPr>
            <w:tcW w:type="dxa" w:w="11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Total HT</w:t>
            </w:r>
          </w:p>
        </w:tc>
        <w:tc>
          <w:tcPr>
            <w:tcW w:type="dxa" w:w="2038"/>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Remarque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Serveur Proxmox (Dell R440)</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2 400 €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2 400 €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8c/32Go/2×SSD 1To</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NAS backup local (Synology DS923+)</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750 €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750 €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 baies, 2×8To HDD</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Switch manageable 24p PoE</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380 €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380 €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VLAN support</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Onduleur 1000VA APC</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220 €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220 €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Protection coupure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YubiKey 5 NFC (admins ×2)</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55 €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MFA clé physique</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Câblage et baie 12U</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340 €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340 €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Infrastructure rack</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Disques SSD cache Proxmox</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75 €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ZFS L2ARC</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Migration / déploiement (régie)</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3j</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150 €/j</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450 €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Prestation externe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Formation initiale équipe IT</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1j</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Samba4 + pfSense</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CAPEX SCÉNARIO A</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5 200 €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Investissement an 1</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2.3 Détail OPEX Annuel — Scénario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2000"/>
        <w:gridCol w:w="2238"/>
      </w:tblGrid>
      <w:tr>
        <w:tc>
          <w:tcPr>
            <w:tcW w:type="dxa" w:w="40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OPEX</w:t>
            </w:r>
          </w:p>
        </w:tc>
        <w:tc>
          <w:tcPr>
            <w:tcW w:type="dxa" w:w="14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Fréquence</w:t>
            </w:r>
          </w:p>
        </w:tc>
        <w:tc>
          <w:tcPr>
            <w:tcW w:type="dxa" w:w="2000"/>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Coût annuel HT</w:t>
            </w:r>
          </w:p>
        </w:tc>
        <w:tc>
          <w:tcPr>
            <w:tcW w:type="dxa" w:w="2238"/>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Remarque</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Stockage S3 Wasabi (500 Go/mois)</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Mensuel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42 €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0,0069 $/Go × 500 Go × 12</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Nom de domaine nova-syndicate.local</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Registrar OVH</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Certificats SSL (Let's Encrypt)</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Gratuit — renouvellement auto</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Bande passante VPN (nomades ×20)</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180 €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Inclus dans abonnement ISP</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Mise à jour matériel (prévisionnel)</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Composants usure normale</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Énergie serveur Proxmox (250W × 8760h)</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174 €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à 0,20 €/kWh × PUE 1,4</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Support communautaire (bénévolat)</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Continu</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Forums Proxmox, Samba, Wazuh</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OPEX ANNUEL SCÉNARIO A</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561 €/an</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2.4 TCO 5 ans — Scénario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Année</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CAPEX</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OPEX</w:t>
            </w:r>
          </w:p>
        </w:tc>
        <w:tc>
          <w:tcPr>
            <w:tcW w:type="dxa" w:w="24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 TCO</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1</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1E8449"/>
                <w:sz w:val="21"/>
                <w:szCs w:val="21"/>
              </w:rPr>
              <w:t xml:space="preserve">5 200 €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561 €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5 761 €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2</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561 €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6 322 €</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3</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561 €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6 883 €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4</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21"/>
                <w:szCs w:val="21"/>
              </w:rPr>
              <w:t xml:space="preserve">500 €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561 €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7 944 €</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5</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561 €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8 505 €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TCO 5 ANS</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1"/>
                <w:szCs w:val="21"/>
              </w:rPr>
              <w:t xml:space="preserve">5 700 €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1"/>
                <w:szCs w:val="21"/>
              </w:rPr>
              <w:t xml:space="preserve">2 805 €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1"/>
                <w:szCs w:val="21"/>
              </w:rPr>
              <w:t xml:space="preserve">8 505 €</w:t>
            </w:r>
          </w:p>
        </w:tc>
      </w:tr>
    </w:tbl>
    <w:p>
      <w:pPr>
        <w:spacing w:after="60" w:before="60"/>
        <w:jc w:val="left"/>
      </w:pPr>
      <w:r>
        <w:rPr>
          <w:rFonts w:ascii="Arial" w:cs="Arial" w:eastAsia="Arial" w:hAnsi="Arial"/>
          <w:b w:val="false"/>
          <w:bCs w:val="false"/>
          <w:i/>
          <w:iCs/>
          <w:color w:val="555555"/>
          <w:sz w:val="19"/>
          <w:szCs w:val="19"/>
        </w:rPr>
        <w:t xml:space="preserve">Note : L'année 4 inclut 500 € de remplacement préventif de disques (durée de vie ~4 ans).</w:t>
      </w:r>
    </w:p>
    <w:p>
      <w:pPr>
        <w:spacing w:after="0" w:before="0"/>
      </w:pPr>
      <w:r>
        <w:t xml:space="preserve"/>
      </w:r>
    </w:p>
    <w:p>
      <w:pPr>
        <w:pStyle w:val="Heading2"/>
        <w:spacing w:after="100" w:before="240"/>
      </w:pPr>
      <w:r>
        <w:rPr>
          <w:rFonts w:ascii="Arial" w:cs="Arial" w:eastAsia="Arial" w:hAnsi="Arial"/>
          <w:b/>
          <w:bCs/>
          <w:color w:val="2E86C1"/>
          <w:sz w:val="28"/>
          <w:szCs w:val="28"/>
        </w:rPr>
        <w:t xml:space="preserve">2.5 Avantages &amp; Inconvénients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 Avantages</w:t>
            </w:r>
          </w:p>
        </w:tc>
        <w:tc>
          <w:tcPr>
            <w:tcW w:type="dxa" w:w="4819"/>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Inconvénients</w:t>
            </w:r>
          </w:p>
        </w:tc>
      </w:tr>
      <w:tr>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TCO le plus bas du marché (8 505 €/5 ans)</w:t>
            </w:r>
          </w:p>
        </w:tc>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Support uniquement communautaire</w:t>
            </w:r>
          </w:p>
        </w:tc>
      </w:tr>
      <w:tr>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Zéro dépendance aux éditeurs commerciaux</w:t>
            </w:r>
          </w:p>
        </w:tc>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Compétences internes élevées requises</w:t>
            </w:r>
          </w:p>
        </w:tc>
      </w:tr>
      <w:tr>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Maîtrise totale du code source</w:t>
            </w:r>
          </w:p>
        </w:tc>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Pas de SLA contractuel avec les éditeurs</w:t>
            </w:r>
          </w:p>
        </w:tc>
      </w:tr>
      <w:tr>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Conformité ANSSI partielle (~34/42)</w:t>
            </w:r>
          </w:p>
        </w:tc>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Veeam limité à 5 VMs (Community)</w:t>
            </w:r>
          </w:p>
        </w:tc>
      </w:tr>
      <w:tr>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Idéal si équipe IT expérimentée open source</w:t>
            </w:r>
          </w:p>
        </w:tc>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Certificats et PKI gérés manuellement</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E86C1"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SCÉNARIO B — BALANCED : Recommandé ★   Meilleur Rapport Sécurité / Budget</w:t>
            </w:r>
          </w:p>
        </w:tc>
      </w:tr>
    </w:tbl>
    <w:p>
      <w:pPr>
        <w:spacing w:after="0" w:before="0"/>
      </w:pPr>
      <w:r>
        <w:t xml:space="preserve"/>
      </w:r>
    </w:p>
    <w:p>
      <w:pPr>
        <w:pStyle w:val="Heading1"/>
        <w:pBdr>
          <w:bottom w:val="single" w:color="2E86C1" w:sz="8" w:space="4"/>
        </w:pBdr>
        <w:spacing w:after="160" w:before="320"/>
      </w:pPr>
      <w:r>
        <w:rPr>
          <w:rFonts w:ascii="Arial" w:cs="Arial" w:eastAsia="Arial" w:hAnsi="Arial"/>
          <w:b/>
          <w:bCs/>
          <w:color w:val="1A3A5C"/>
          <w:sz w:val="36"/>
          <w:szCs w:val="36"/>
        </w:rPr>
        <w:t xml:space="preserve">3. Scénario B — Balanced (Recommandé)</w:t>
      </w:r>
    </w:p>
    <w:p>
      <w:pPr>
        <w:pStyle w:val="Heading2"/>
        <w:spacing w:after="100" w:before="240"/>
      </w:pPr>
      <w:r>
        <w:rPr>
          <w:rFonts w:ascii="Arial" w:cs="Arial" w:eastAsia="Arial" w:hAnsi="Arial"/>
          <w:b/>
          <w:bCs/>
          <w:color w:val="2E86C1"/>
          <w:sz w:val="28"/>
          <w:szCs w:val="28"/>
        </w:rPr>
        <w:t xml:space="preserve">3.1 Principes et Choix Technologiques</w:t>
      </w:r>
    </w:p>
    <w:p>
      <w:pPr>
        <w:spacing w:after="80" w:before="80"/>
        <w:jc w:val="left"/>
      </w:pPr>
      <w:r>
        <w:rPr>
          <w:rFonts w:ascii="Arial" w:cs="Arial" w:eastAsia="Arial" w:hAnsi="Arial"/>
          <w:b w:val="false"/>
          <w:bCs w:val="false"/>
          <w:i w:val="false"/>
          <w:iCs w:val="false"/>
          <w:color w:val="000000"/>
          <w:sz w:val="22"/>
          <w:szCs w:val="22"/>
        </w:rPr>
        <w:t xml:space="preserve">Ce scénario combine le meilleur des deux mondes : des briques open source éprouvées pour la partie infrastructure, et quelques licences commerciales ciblées pour les composants critiques nécessitant un support contractuel (sauvegarde, stockage cloud immuable). C'est la solution recommandée pour Nova Syndicate.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638"/>
      </w:tblGrid>
      <w:tr>
        <w:tc>
          <w:tcPr>
            <w:tcW w:type="dxa" w:w="28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Composant</w:t>
            </w:r>
          </w:p>
        </w:tc>
        <w:tc>
          <w:tcPr>
            <w:tcW w:type="dxa" w:w="28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Solution retenue</w:t>
            </w:r>
          </w:p>
        </w:tc>
        <w:tc>
          <w:tcPr>
            <w:tcW w:type="dxa" w:w="24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Licence</w:t>
            </w:r>
          </w:p>
        </w:tc>
        <w:tc>
          <w:tcPr>
            <w:tcW w:type="dxa" w:w="1638"/>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Hyperviseur</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Proxmox VE</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AGPLv3 — Gratuit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8.x</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Active Directory</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Samba4 AD DC</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GPLv3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4.18+</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Pare-feu / VPN</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pfSense CE</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Apache 2.0 — Gratuit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2.7.x</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EDR / SIEM</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Wazuh Open Source</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GPLv2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4.7.x</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Sauvegarde</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Veeam Essentials</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 — 10 VMs</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12.x</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Monitoring</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Prometheus + Grafana</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Apache 2.0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Latest</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Stockage S3 WORM</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Wasabi Hot Cloud (Object Lock)</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Payant — 0,0069 $/Go</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SaaS</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Ticketing ITSM</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GLPI</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GPLv2 — Gratuit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10.x</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Conformité OpenSCAP</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OpenSCAP + SCAP Security Guide</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LGPL — Gratuit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Latest</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3.2 Détail CAPEX — Scénario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100"/>
        <w:gridCol w:w="1100"/>
        <w:gridCol w:w="2038"/>
      </w:tblGrid>
      <w:tr>
        <w:tc>
          <w:tcPr>
            <w:tcW w:type="dxa" w:w="35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CAPEX</w:t>
            </w:r>
          </w:p>
        </w:tc>
        <w:tc>
          <w:tcPr>
            <w:tcW w:type="dxa" w:w="9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Quantité</w:t>
            </w:r>
          </w:p>
        </w:tc>
        <w:tc>
          <w:tcPr>
            <w:tcW w:type="dxa" w:w="11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 HT</w:t>
            </w:r>
          </w:p>
        </w:tc>
        <w:tc>
          <w:tcPr>
            <w:tcW w:type="dxa" w:w="11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Total HT</w:t>
            </w:r>
          </w:p>
        </w:tc>
        <w:tc>
          <w:tcPr>
            <w:tcW w:type="dxa" w:w="2038"/>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Remarque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Serveur Proxmox (Dell R540)</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3 200 €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3 200 €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12c/64Go/4×SSD 2To RAID</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NAS backup local (Synology DS1522+)</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950 €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950 €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baies, 2×12To HDD</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Switch manageable 24p PoE+ (HP/Cisco)</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480 €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480 €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VLAN + QoS</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Onduleur 1500VA APC Smart</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320 €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320 €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Protection + monitoring</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YubiKey 5 NFC (admins ×2)</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55 €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MFA FIDO2 clé physique</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YubiKey 5C NFC (backup ×2)</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Clés de secours admin</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Câblage structuré + baie 15U</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520 €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520 €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Câblage Cat6A certifié</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Disques SSD NVMe (ZFS cache)</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240 €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Write-back cache Proxmox</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Licence Veeam Backup Essentials</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1 200 €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1 200 €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 VMs, 1 an support inclus</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Déploiement + migration (régie)</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5j</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150 €/j</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750 €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Prestation externe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Formation équipe IT (2j)</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2j</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450 €/j</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Proxmox + Wazuh + Veeam</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Documentation et procédures</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3j</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120 €/j</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360 €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Rédaction interne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CAPEX SCÉNARIO B</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9 150 €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Investissement an 1</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3.3 Détail OPEX Annuel — Scénario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2000"/>
        <w:gridCol w:w="2238"/>
      </w:tblGrid>
      <w:tr>
        <w:tc>
          <w:tcPr>
            <w:tcW w:type="dxa" w:w="40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OPEX</w:t>
            </w:r>
          </w:p>
        </w:tc>
        <w:tc>
          <w:tcPr>
            <w:tcW w:type="dxa" w:w="14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Fréquence</w:t>
            </w:r>
          </w:p>
        </w:tc>
        <w:tc>
          <w:tcPr>
            <w:tcW w:type="dxa" w:w="20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Coût annuel HT</w:t>
            </w:r>
          </w:p>
        </w:tc>
        <w:tc>
          <w:tcPr>
            <w:tcW w:type="dxa" w:w="2238"/>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Remarque</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Maintenance Veeam Essentials (renouvellement)</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420 €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Support + mises à jour</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Stockage S3 Wasabi WORM (1 To/mois)</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Mensuel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84 €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0,0069 $/Go × 1 000 Go × 12</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Nom de domaine + DNS external</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25 €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nova-syndicate.com (externe)</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Certificats SSL EV (pfSense PKI interne)</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CA interne autosignée</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Abonnement Proxmox Community (facultatif)</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Accès repo stable, support</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Énergie serveur (350W × 8760h × PUE 1,4)</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244 €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à 0,20 €/kWh</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Énergie NAS (50W × 8760h)</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87 €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à 0,20 €/kWh</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VPN nomades — connexions (20 users)</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OpenVPN inclus pfSense</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Formation continue et certifications</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techniciens × 300 €/an</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Mise à jour matériel (prévisionnel)</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200 €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Composants, câbles, etc.</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OPEX ANNUEL SCÉNARIO B</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1 780 €/an</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3.4 TCO 5 ans — Scénario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Année</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CAPEX</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OPEX</w:t>
            </w:r>
          </w:p>
        </w:tc>
        <w:tc>
          <w:tcPr>
            <w:tcW w:type="dxa" w:w="24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 TCO</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1</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9 150 €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10 930 €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2</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12 710 €</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3</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14 490 €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4</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21"/>
                <w:szCs w:val="21"/>
              </w:rPr>
              <w:t xml:space="preserve">800 €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17 070 €</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5</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18 850 €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TCO 5 ANS</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9 950 €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1"/>
                <w:szCs w:val="21"/>
              </w:rPr>
              <w:t xml:space="preserve">8 900 €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18 850 €</w:t>
            </w:r>
          </w:p>
        </w:tc>
      </w:tr>
    </w:tbl>
    <w:p>
      <w:pPr>
        <w:spacing w:after="60" w:before="60"/>
        <w:jc w:val="left"/>
      </w:pPr>
      <w:r>
        <w:rPr>
          <w:rFonts w:ascii="Arial" w:cs="Arial" w:eastAsia="Arial" w:hAnsi="Arial"/>
          <w:b w:val="false"/>
          <w:bCs w:val="false"/>
          <w:i/>
          <w:iCs/>
          <w:color w:val="555555"/>
          <w:sz w:val="19"/>
          <w:szCs w:val="19"/>
        </w:rPr>
        <w:t xml:space="preserve">Note : L'année 4 inclut 800 € de renouvellement préventif (disques + composants réseau).</w:t>
      </w:r>
    </w:p>
    <w:p>
      <w:pPr>
        <w:spacing w:after="0" w:before="0"/>
      </w:pPr>
      <w:r>
        <w:t xml:space="preserve"/>
      </w:r>
    </w:p>
    <w:p>
      <w:pPr>
        <w:pStyle w:val="Heading2"/>
        <w:spacing w:after="100" w:before="240"/>
      </w:pPr>
      <w:r>
        <w:rPr>
          <w:rFonts w:ascii="Arial" w:cs="Arial" w:eastAsia="Arial" w:hAnsi="Arial"/>
          <w:b/>
          <w:bCs/>
          <w:color w:val="2E86C1"/>
          <w:sz w:val="28"/>
          <w:szCs w:val="28"/>
        </w:rPr>
        <w:t xml:space="preserve">3.5 Conformité et Couverture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c>
          <w:tcPr>
            <w:tcW w:type="dxa" w:w="28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Référentiel</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Score / Niveau</w:t>
            </w:r>
          </w:p>
        </w:tc>
        <w:tc>
          <w:tcPr>
            <w:tcW w:type="dxa" w:w="44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Détail</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ANSSI Recommandations</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38 / 42 (90 %)</w:t>
            </w:r>
          </w:p>
        </w:tc>
        <w:tc>
          <w:tcPr>
            <w:tcW w:type="dxa" w:w="4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R1–R38 couvertes, R39–R42 partielles</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ISO 27001:2022</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Niveau B (pré-audit)</w:t>
            </w:r>
          </w:p>
        </w:tc>
        <w:tc>
          <w:tcPr>
            <w:tcW w:type="dxa" w:w="4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Contrôles A.5 à A.8 implémentés</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RGPD Art. 25 (Privacy by Design)</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Conforme</w:t>
            </w:r>
          </w:p>
        </w:tc>
        <w:tc>
          <w:tcPr>
            <w:tcW w:type="dxa" w:w="4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Chiffrement, pseudonymisation, WORM logs</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ITIL 4 — Incident Management</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Conforme</w:t>
            </w:r>
          </w:p>
        </w:tc>
        <w:tc>
          <w:tcPr>
            <w:tcW w:type="dxa" w:w="4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SLA P1&lt;15min, P2&lt;1h, P3&lt;4h</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CIS Benchmark Linux Level 1</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Conforme</w:t>
            </w:r>
          </w:p>
        </w:tc>
        <w:tc>
          <w:tcPr>
            <w:tcW w:type="dxa" w:w="4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OpenSCAP automatisé hebdomadaire</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3.6 Avantages &amp; Inconvénients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 Avantages</w:t>
            </w:r>
          </w:p>
        </w:tc>
        <w:tc>
          <w:tcPr>
            <w:tcW w:type="dxa" w:w="4819"/>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 Inconvénients</w:t>
            </w:r>
          </w:p>
        </w:tc>
      </w:tr>
      <w:tr>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Meilleur rapport sécurité/budget</w:t>
            </w:r>
          </w:p>
        </w:tc>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CAPEX initial plus élevé que Scénario A</w:t>
            </w:r>
          </w:p>
        </w:tc>
      </w:tr>
      <w:tr>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Veeam : 10 VMs + support contractuel 1 an</w:t>
            </w:r>
          </w:p>
        </w:tc>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OPEX annuel supérieur au Scénario A</w:t>
            </w:r>
          </w:p>
        </w:tc>
      </w:tr>
      <w:tr>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Conformité ANSSI 90 % (38/42)</w:t>
            </w:r>
          </w:p>
        </w:tc>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Compétences open source internes toujours requises</w:t>
            </w:r>
          </w:p>
        </w:tc>
      </w:tr>
      <w:tr>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Stack 100 % maîtrisable en interne</w:t>
            </w:r>
          </w:p>
        </w:tc>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Migration vers Scénario C possible mais coûteuse</w:t>
            </w:r>
          </w:p>
        </w:tc>
      </w:tr>
      <w:tr>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S3 WORM anti-ransomware (Object Lock)</w:t>
            </w:r>
          </w:p>
        </w:tc>
        <w:tc>
          <w:tcPr>
            <w:tcW w:type="dxa" w:w="4819"/>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Veeam Essentials limité à 10 VMs</w:t>
            </w:r>
          </w:p>
        </w:tc>
      </w:tr>
      <w:tr>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Évolutivité vers Cloud hybride facilitée</w:t>
            </w:r>
          </w:p>
        </w:tc>
        <w:tc>
          <w:tcPr>
            <w:tcW w:type="dxa" w:w="4819"/>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C0392B"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SCÉNARIO C — ENTERPRISE : Solutions Propriétaires Complètes</w:t>
            </w:r>
          </w:p>
        </w:tc>
      </w:tr>
    </w:tbl>
    <w:p>
      <w:pPr>
        <w:spacing w:after="0" w:before="0"/>
      </w:pPr>
      <w:r>
        <w:t xml:space="preserve"/>
      </w:r>
    </w:p>
    <w:p>
      <w:pPr>
        <w:pStyle w:val="Heading1"/>
        <w:pBdr>
          <w:bottom w:val="single" w:color="2E86C1" w:sz="8" w:space="4"/>
        </w:pBdr>
        <w:spacing w:after="160" w:before="320"/>
      </w:pPr>
      <w:r>
        <w:rPr>
          <w:rFonts w:ascii="Arial" w:cs="Arial" w:eastAsia="Arial" w:hAnsi="Arial"/>
          <w:b/>
          <w:bCs/>
          <w:color w:val="1A3A5C"/>
          <w:sz w:val="36"/>
          <w:szCs w:val="36"/>
        </w:rPr>
        <w:t xml:space="preserve">4. Scénario C — Enterprise Propriétaire</w:t>
      </w:r>
    </w:p>
    <w:p>
      <w:pPr>
        <w:pStyle w:val="Heading2"/>
        <w:spacing w:after="100" w:before="240"/>
      </w:pPr>
      <w:r>
        <w:rPr>
          <w:rFonts w:ascii="Arial" w:cs="Arial" w:eastAsia="Arial" w:hAnsi="Arial"/>
          <w:b/>
          <w:bCs/>
          <w:color w:val="2E86C1"/>
          <w:sz w:val="28"/>
          <w:szCs w:val="28"/>
        </w:rPr>
        <w:t xml:space="preserve">4.1 Principes et Choix Technologiques</w:t>
      </w:r>
    </w:p>
    <w:p>
      <w:pPr>
        <w:spacing w:after="80" w:before="80"/>
        <w:jc w:val="left"/>
      </w:pPr>
      <w:r>
        <w:rPr>
          <w:rFonts w:ascii="Arial" w:cs="Arial" w:eastAsia="Arial" w:hAnsi="Arial"/>
          <w:b w:val="false"/>
          <w:bCs w:val="false"/>
          <w:i w:val="false"/>
          <w:iCs w:val="false"/>
          <w:color w:val="000000"/>
          <w:sz w:val="22"/>
          <w:szCs w:val="22"/>
        </w:rPr>
        <w:t xml:space="preserve">Ce scénario représente une infrastructure entièrement basée sur des solutions commerciales avec support contractuel garanti et SLA éditeur. Il est adapté aux grandes organisations avec une obligation de conformité stricte, un budget conséquent et une équipe IT dédiée.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638"/>
      </w:tblGrid>
      <w:tr>
        <w:tc>
          <w:tcPr>
            <w:tcW w:type="dxa" w:w="28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Composant</w:t>
            </w:r>
          </w:p>
        </w:tc>
        <w:tc>
          <w:tcPr>
            <w:tcW w:type="dxa" w:w="28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Solution retenue</w:t>
            </w:r>
          </w:p>
        </w:tc>
        <w:tc>
          <w:tcPr>
            <w:tcW w:type="dxa" w:w="24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Licence</w:t>
            </w:r>
          </w:p>
        </w:tc>
        <w:tc>
          <w:tcPr>
            <w:tcW w:type="dxa" w:w="1638"/>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Modèle</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Hyperviseur</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VMware vSphere 8 + vCenter</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 Broadcom</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Abonnement annuel</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Active Directory</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Microsoft AD (Windows Server 2022)</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 Microsoft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Licence perpétuelle + SA</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Pare-feu / VPN</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Fortinet FortiGate 80F</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HW + abonnement UTM</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EDR / SIEM</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SentinelOne + Splunk Enterprise</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Per-endpoint / per-Go</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Sauvegarde</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Veeam Backup Enterprise Plus</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Licence socket</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Monitoring</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Datadog Infrastructure</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SaaS / per-host</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Abonnement mensuel</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Stockage S3</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AWS S3 Standard + Glacier</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SaaS AWS</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Abonnement + transfert</w:t>
            </w:r>
          </w:p>
        </w:tc>
      </w:tr>
      <w:tr>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Ticketing ITSM</w:t>
            </w:r>
          </w:p>
        </w:tc>
        <w:tc>
          <w:tcPr>
            <w:tcW w:type="dxa" w:w="2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ServiceNow ITSM</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 SaaS</w:t>
            </w:r>
          </w:p>
        </w:tc>
        <w:tc>
          <w:tcPr>
            <w:tcW w:type="dxa" w:w="1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Per-user annuel</w:t>
            </w:r>
          </w:p>
        </w:tc>
      </w:tr>
      <w:tr>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Identité Cloud</w:t>
            </w:r>
          </w:p>
        </w:tc>
        <w:tc>
          <w:tcPr>
            <w:tcW w:type="dxa" w:w="2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Microsoft Entra ID P2 (Azure AD)</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Commerciale Microsoft</w:t>
            </w:r>
          </w:p>
        </w:tc>
        <w:tc>
          <w:tcPr>
            <w:tcW w:type="dxa" w:w="1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Per-user mensuel</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4.2 Détail CAPEX — Scénario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100"/>
        <w:gridCol w:w="1100"/>
        <w:gridCol w:w="2038"/>
      </w:tblGrid>
      <w:tr>
        <w:tc>
          <w:tcPr>
            <w:tcW w:type="dxa" w:w="35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CAPEX</w:t>
            </w:r>
          </w:p>
        </w:tc>
        <w:tc>
          <w:tcPr>
            <w:tcW w:type="dxa" w:w="9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Quantité</w:t>
            </w:r>
          </w:p>
        </w:tc>
        <w:tc>
          <w:tcPr>
            <w:tcW w:type="dxa" w:w="11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 HT</w:t>
            </w:r>
          </w:p>
        </w:tc>
        <w:tc>
          <w:tcPr>
            <w:tcW w:type="dxa" w:w="11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Total HT</w:t>
            </w:r>
          </w:p>
        </w:tc>
        <w:tc>
          <w:tcPr>
            <w:tcW w:type="dxa" w:w="2038"/>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Remarque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Serveurs Dell PowerEdge R750 (cluster)</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12 000 €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24 000 €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VMware HA Cluster</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SAN Dell PowerVault (stockage partagé)</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8 500 €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8 500 €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iSCSI 50To SSD</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Fortinet FortiGate 80F (HA)</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3 200 €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6 400 €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Pare-feu redondant</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Switches Cisco Catalyst 9200 (×2)</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2 800 €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5 600 €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VLAN + SDN ready</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Onduleurs APC Symmetra (×2)</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2 500 €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5 000 €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Redondance datacenter</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Licences Windows Server 2022 Datacenter</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4 500 €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9 000 €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Virtualisation illimitée</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VMware vSphere Enterprise Plus</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sockets</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3 500 €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7 000 €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vCenter inclus</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SentinelOne EDR (85 endpoints × 3 ans)</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85</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65 €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5 525 €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console SIEM</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Veeam Enterprise Plus (licences socket)</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1 800 €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7 200 €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VBR + plugins</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Baie 42U + câblage datacenter certifié</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4 200 €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4 200 €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Installation pro</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Intégration et déploiement (régie ×20j)</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20j</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650 €/j</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13 000 €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ESS + VMware + AD</w:t>
            </w:r>
          </w:p>
        </w:tc>
      </w:tr>
      <w:tr>
        <w:tc>
          <w:tcPr>
            <w:tcW w:type="dxa" w:w="3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Formation certifiante (VMware VCP + MCSA)</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2 500 €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5 000 €</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Certifications éditeurs</w:t>
            </w:r>
          </w:p>
        </w:tc>
      </w:tr>
      <w:tr>
        <w:tc>
          <w:tcPr>
            <w:tcW w:type="dxa" w:w="3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CAPEX SCÉNARIO C</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100 425 €</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Investissement an 1</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4.3 Détail OPEX Annuel — Scénario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2000"/>
        <w:gridCol w:w="2238"/>
      </w:tblGrid>
      <w:tr>
        <w:tc>
          <w:tcPr>
            <w:tcW w:type="dxa" w:w="40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Poste OPEX</w:t>
            </w:r>
          </w:p>
        </w:tc>
        <w:tc>
          <w:tcPr>
            <w:tcW w:type="dxa" w:w="14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Fréquence</w:t>
            </w:r>
          </w:p>
        </w:tc>
        <w:tc>
          <w:tcPr>
            <w:tcW w:type="dxa" w:w="2000"/>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Coût annuel HT</w:t>
            </w:r>
          </w:p>
        </w:tc>
        <w:tc>
          <w:tcPr>
            <w:tcW w:type="dxa" w:w="2238"/>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Remarque</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Abonnement VMware vSphere (Broadcom)</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7 000 €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Post-acquisition Broadcom (+300 %)</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Microsoft 365 E3 (85 users × 32 €/mois)</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Mensuel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32 640 €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M365 + Azure AD P1 inclus</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Microsoft Entra ID P2 (85 users × 6 €/mois)</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Mensuel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6 120 €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MFA avancé + Conditional Access</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SentinelOne EDR (85 endpoints × 65 €/an)</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5 525 €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Renouvellement annuel</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Splunk Enterprise (ingestion 10 Go/j)</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28 000 €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Licence volume logs</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Veeam Enterprise Plus (maintenance)</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3 600 €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20 % du prix licence/an</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Fortinet UTM Subscription (×2)</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3 200 €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IPS + AntiVirus + WebFilter</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AWS S3 + Glacier (5 To sauvegarde)</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Mensuel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1 380 €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S3 standard + transfert</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Datadog Infrastructure (10 hosts)</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Mensuel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2 400 €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20 $/host/mois</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ServiceNow ITSM (10 agents)</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18 000 €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150 $/agent/mois</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Cisco SmartNet (maintenance switches)</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1 200 €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TAC 24/7 support</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Énergie cluster (2 serveurs × 700W × PUE 1,4)</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2 440 €</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à 0,20 €/kWh</w:t>
            </w:r>
          </w:p>
        </w:tc>
      </w:tr>
      <w:tr>
        <w:tc>
          <w:tcPr>
            <w:tcW w:type="dxa" w:w="4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Formation continue certifiante</w:t>
            </w:r>
          </w:p>
        </w:tc>
        <w:tc>
          <w:tcPr>
            <w:tcW w:type="dxa" w:w="1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4 000 €</w:t>
            </w:r>
          </w:p>
        </w:tc>
        <w:tc>
          <w:tcPr>
            <w:tcW w:type="dxa" w:w="22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ingénieurs × 2 000 €/an</w:t>
            </w:r>
          </w:p>
        </w:tc>
      </w:tr>
      <w:tr>
        <w:tc>
          <w:tcPr>
            <w:tcW w:type="dxa" w:w="4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OPEX ANNUEL SCÉNARIO C</w:t>
            </w:r>
          </w:p>
        </w:tc>
        <w:tc>
          <w:tcPr>
            <w:tcW w:type="dxa" w:w="1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115 505 €/an</w:t>
            </w:r>
          </w:p>
        </w:tc>
        <w:tc>
          <w:tcPr>
            <w:tcW w:type="dxa" w:w="22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Dont M365 = 38 760 €/an</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4.4 TCO 5 ans — Scénario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Année</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CAPEX</w:t>
            </w:r>
          </w:p>
        </w:tc>
        <w:tc>
          <w:tcPr>
            <w:tcW w:type="dxa" w:w="24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OPEX</w:t>
            </w:r>
          </w:p>
        </w:tc>
        <w:tc>
          <w:tcPr>
            <w:tcW w:type="dxa" w:w="24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 TCO</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1</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100 425 €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215 930 €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2</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331 435 €</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3</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446 940 €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4</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D35400"/>
                <w:sz w:val="21"/>
                <w:szCs w:val="21"/>
              </w:rPr>
              <w:t xml:space="preserve">10 000 €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572 445 €</w:t>
            </w:r>
          </w:p>
        </w:tc>
      </w:tr>
      <w:tr>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Année 5</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0 €</w:t>
            </w:r>
          </w:p>
        </w:tc>
        <w:tc>
          <w:tcPr>
            <w:tcW w:type="dxa" w:w="24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w:t>
            </w:r>
          </w:p>
        </w:tc>
        <w:tc>
          <w:tcPr>
            <w:tcW w:type="dxa" w:w="24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687 950 €</w:t>
            </w:r>
          </w:p>
        </w:tc>
      </w:tr>
      <w:tr>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 TCO 5 ANS</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110 425 €</w:t>
            </w:r>
          </w:p>
        </w:tc>
        <w:tc>
          <w:tcPr>
            <w:tcW w:type="dxa" w:w="24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55555"/>
                <w:sz w:val="21"/>
                <w:szCs w:val="21"/>
              </w:rPr>
              <w:t xml:space="preserve">577 525 €</w:t>
            </w:r>
          </w:p>
        </w:tc>
        <w:tc>
          <w:tcPr>
            <w:tcW w:type="dxa" w:w="24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687 950 €</w:t>
            </w:r>
          </w:p>
        </w:tc>
      </w:tr>
    </w:tbl>
    <w:p>
      <w:pPr>
        <w:spacing w:after="60" w:before="60"/>
        <w:jc w:val="left"/>
      </w:pPr>
      <w:r>
        <w:rPr>
          <w:rFonts w:ascii="Arial" w:cs="Arial" w:eastAsia="Arial" w:hAnsi="Arial"/>
          <w:b w:val="false"/>
          <w:bCs w:val="false"/>
          <w:i/>
          <w:iCs/>
          <w:color w:val="555555"/>
          <w:sz w:val="19"/>
          <w:szCs w:val="19"/>
        </w:rPr>
        <w:t xml:space="preserve">Note : L'OPEX élevé est principalement dû aux licences Microsoft (38 760 €/an) et Splunk (28 000 €/an). L'année 4 inclut un renouvellement partiel du matériel.</w:t>
      </w:r>
    </w:p>
    <w:p>
      <w:r>
        <w:br w:type="page"/>
      </w:r>
    </w:p>
    <w:p>
      <w:pPr>
        <w:pStyle w:val="Heading1"/>
        <w:pBdr>
          <w:bottom w:val="single" w:color="2E86C1" w:sz="8" w:space="4"/>
        </w:pBdr>
        <w:spacing w:after="160" w:before="320"/>
      </w:pPr>
      <w:r>
        <w:rPr>
          <w:rFonts w:ascii="Arial" w:cs="Arial" w:eastAsia="Arial" w:hAnsi="Arial"/>
          <w:b/>
          <w:bCs/>
          <w:color w:val="1A3A5C"/>
          <w:sz w:val="36"/>
          <w:szCs w:val="36"/>
        </w:rPr>
        <w:t xml:space="preserve">5. Comparaison des Scénarios — Visualisation</w:t>
      </w:r>
    </w:p>
    <w:p>
      <w:pPr>
        <w:pStyle w:val="Heading2"/>
        <w:spacing w:after="100" w:before="240"/>
      </w:pPr>
      <w:r>
        <w:rPr>
          <w:rFonts w:ascii="Arial" w:cs="Arial" w:eastAsia="Arial" w:hAnsi="Arial"/>
          <w:b/>
          <w:bCs/>
          <w:color w:val="2E86C1"/>
          <w:sz w:val="28"/>
          <w:szCs w:val="28"/>
        </w:rPr>
        <w:t xml:space="preserve">5.1 Synthèse Financière Comparative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c>
          <w:tcPr>
            <w:tcW w:type="dxa" w:w="32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Indicateur</w:t>
            </w:r>
          </w:p>
        </w:tc>
        <w:tc>
          <w:tcPr>
            <w:tcW w:type="dxa" w:w="2146"/>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Scénario A
Light OS</w:t>
            </w:r>
          </w:p>
        </w:tc>
        <w:tc>
          <w:tcPr>
            <w:tcW w:type="dxa" w:w="2146"/>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Scénario B
Balanced ★</w:t>
            </w:r>
          </w:p>
        </w:tc>
        <w:tc>
          <w:tcPr>
            <w:tcW w:type="dxa" w:w="2146"/>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Scénario C
Enterprise</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CAPEX An 1</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1E8449"/>
                <w:sz w:val="21"/>
                <w:szCs w:val="21"/>
              </w:rPr>
              <w:t xml:space="preserve">5 200 €</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9 150 €</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100 425 €</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OPEX Annuel</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1"/>
                <w:szCs w:val="21"/>
              </w:rPr>
              <w:t xml:space="preserve">561 €/an</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86C1"/>
                <w:sz w:val="21"/>
                <w:szCs w:val="21"/>
              </w:rPr>
              <w:t xml:space="preserve">1 780 €/an</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1"/>
                <w:szCs w:val="21"/>
              </w:rPr>
              <w:t xml:space="preserve">115 505 €/an</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TCO 5 ans</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1E8449"/>
                <w:sz w:val="21"/>
                <w:szCs w:val="21"/>
              </w:rPr>
              <w:t xml:space="preserve">8 505 €</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18 850 €</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C0392B"/>
                <w:sz w:val="21"/>
                <w:szCs w:val="21"/>
              </w:rPr>
              <w:t xml:space="preserve">687 950 €</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Conformité ANSSI</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34 / 42 (81 %)</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38 / 42 (90 %)</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42 / 42 (100 %)</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Support contractuel</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Aucun</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Veeam + partiel</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Complet (SLA éditeurs)</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Complexité gestion</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Élevée</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Modérée</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Faible (éditeurs gèrent)</w:t>
            </w:r>
          </w:p>
        </w:tc>
      </w:tr>
      <w:tr>
        <w:tc>
          <w:tcPr>
            <w:tcW w:type="dxa" w:w="32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Dépendance éditeurs</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Aucune</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Faible</w:t>
            </w:r>
          </w:p>
        </w:tc>
        <w:tc>
          <w:tcPr>
            <w:tcW w:type="dxa" w:w="2146"/>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Totale (vendor lock-in)</w:t>
            </w:r>
          </w:p>
        </w:tc>
      </w:tr>
      <w:tr>
        <w:tc>
          <w:tcPr>
            <w:tcW w:type="dxa" w:w="32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Recommandation</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Si budget très serré</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 RECOMMANDÉ</w:t>
            </w:r>
          </w:p>
        </w:tc>
        <w:tc>
          <w:tcPr>
            <w:tcW w:type="dxa" w:w="2146"/>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Hors budget NS</w:t>
            </w:r>
          </w:p>
        </w:tc>
      </w:tr>
    </w:tbl>
    <w:p>
      <w:pPr>
        <w:spacing w:after="0" w:before="0"/>
      </w:pPr>
      <w:r>
        <w:t xml:space="preserve"/>
      </w:r>
    </w:p>
    <w:p>
      <w:pPr>
        <w:spacing w:after="0" w:before="0"/>
      </w:pPr>
      <w:r>
        <w:t xml:space="preserve"/>
      </w:r>
    </w:p>
    <w:p>
      <w:pPr>
        <w:pStyle w:val="Heading2"/>
        <w:spacing w:after="100" w:before="240"/>
      </w:pPr>
      <w:r>
        <w:rPr>
          <w:rFonts w:ascii="Arial" w:cs="Arial" w:eastAsia="Arial" w:hAnsi="Arial"/>
          <w:b/>
          <w:bCs/>
          <w:color w:val="2E86C1"/>
          <w:sz w:val="28"/>
          <w:szCs w:val="28"/>
        </w:rPr>
        <w:t xml:space="preserve">5.2 Graphique — CAPEX Comparatif (An 1)</w:t>
      </w:r>
    </w:p>
    <w:p>
      <w:pPr>
        <w:spacing w:after="60" w:before="120"/>
        <w:jc w:val="left"/>
      </w:pPr>
      <w:r>
        <w:rPr>
          <w:rFonts w:ascii="Arial" w:cs="Arial" w:eastAsia="Arial" w:hAnsi="Arial"/>
          <w:b/>
          <w:bCs/>
          <w:i w:val="false"/>
          <w:iCs w:val="false"/>
          <w:color w:val="1A3A5C"/>
          <w:sz w:val="22"/>
          <w:szCs w:val="22"/>
        </w:rPr>
        <w:t xml:space="preserve">CAPEX Année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200"/>
        <w:gridCol w:w="1038"/>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A — Light</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1E8449"/>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E8449"/>
                <w:sz w:val="20"/>
                <w:szCs w:val="20"/>
              </w:rPr>
              <w:t xml:space="preserve">5%</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5 200 €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B — Balanced</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2E86C1"/>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9%</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9 150 €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C — Enterprise</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C0392B"/>
                <w:sz w:val="20"/>
                <w:szCs w:val="20"/>
              </w:rPr>
              <w:t xml:space="preserve">100%</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100 425 €</w:t>
            </w:r>
          </w:p>
        </w:tc>
      </w:tr>
    </w:tbl>
    <w:p>
      <w:pPr>
        <w:spacing w:after="0" w:before="0"/>
      </w:pPr>
      <w:r>
        <w:t xml:space="preserve"/>
      </w:r>
    </w:p>
    <w:p>
      <w:pPr>
        <w:spacing w:after="0" w:before="0"/>
      </w:pPr>
      <w:r>
        <w:t xml:space="preserve"/>
      </w:r>
    </w:p>
    <w:p>
      <w:pPr>
        <w:pStyle w:val="Heading2"/>
        <w:spacing w:after="100" w:before="240"/>
      </w:pPr>
      <w:r>
        <w:rPr>
          <w:rFonts w:ascii="Arial" w:cs="Arial" w:eastAsia="Arial" w:hAnsi="Arial"/>
          <w:b/>
          <w:bCs/>
          <w:color w:val="2E86C1"/>
          <w:sz w:val="28"/>
          <w:szCs w:val="28"/>
        </w:rPr>
        <w:t xml:space="preserve">5.3 Graphique — OPEX Annuel Comparatif</w:t>
      </w:r>
    </w:p>
    <w:p>
      <w:pPr>
        <w:spacing w:after="60" w:before="120"/>
        <w:jc w:val="left"/>
      </w:pPr>
      <w:r>
        <w:rPr>
          <w:rFonts w:ascii="Arial" w:cs="Arial" w:eastAsia="Arial" w:hAnsi="Arial"/>
          <w:b/>
          <w:bCs/>
          <w:i w:val="false"/>
          <w:iCs w:val="false"/>
          <w:color w:val="1A3A5C"/>
          <w:sz w:val="22"/>
          <w:szCs w:val="22"/>
        </w:rPr>
        <w:t xml:space="preserve">OPEX Annuel (récurrent)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200"/>
        <w:gridCol w:w="1038"/>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A — Light</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1E8449"/>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E8449"/>
                <w:sz w:val="20"/>
                <w:szCs w:val="20"/>
              </w:rPr>
              <w:t xml:space="preserve">0%</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561 €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B — Balanced</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2E86C1"/>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2%</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1 780 €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C — Enterprise</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C0392B"/>
                <w:sz w:val="20"/>
                <w:szCs w:val="20"/>
              </w:rPr>
              <w:t xml:space="preserve">100%</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115 505 €</w:t>
            </w:r>
          </w:p>
        </w:tc>
      </w:tr>
    </w:tbl>
    <w:p>
      <w:pPr>
        <w:spacing w:after="0" w:before="0"/>
      </w:pPr>
      <w:r>
        <w:t xml:space="preserve"/>
      </w:r>
    </w:p>
    <w:p>
      <w:pPr>
        <w:spacing w:after="0" w:before="0"/>
      </w:pPr>
      <w:r>
        <w:t xml:space="preserve"/>
      </w:r>
    </w:p>
    <w:p>
      <w:pPr>
        <w:pStyle w:val="Heading2"/>
        <w:spacing w:after="100" w:before="240"/>
      </w:pPr>
      <w:r>
        <w:rPr>
          <w:rFonts w:ascii="Arial" w:cs="Arial" w:eastAsia="Arial" w:hAnsi="Arial"/>
          <w:b/>
          <w:bCs/>
          <w:color w:val="2E86C1"/>
          <w:sz w:val="28"/>
          <w:szCs w:val="28"/>
        </w:rPr>
        <w:t xml:space="preserve">5.4 Graphique — TCO 5 ans Comparatif</w:t>
      </w:r>
    </w:p>
    <w:p>
      <w:pPr>
        <w:spacing w:after="60" w:before="120"/>
        <w:jc w:val="left"/>
      </w:pPr>
      <w:r>
        <w:rPr>
          <w:rFonts w:ascii="Arial" w:cs="Arial" w:eastAsia="Arial" w:hAnsi="Arial"/>
          <w:b/>
          <w:bCs/>
          <w:i w:val="false"/>
          <w:iCs w:val="false"/>
          <w:color w:val="1A3A5C"/>
          <w:sz w:val="22"/>
          <w:szCs w:val="22"/>
        </w:rPr>
        <w:t xml:space="preserve">TCO Total sur 5 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200"/>
        <w:gridCol w:w="1038"/>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A — Light</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1E8449"/>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E8449"/>
                <w:sz w:val="20"/>
                <w:szCs w:val="20"/>
              </w:rPr>
              <w:t xml:space="preserve">1%</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8 505 €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B — Balanced</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2E86C1"/>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3%</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18 850 €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C — Enterprise</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C0392B"/>
                <w:sz w:val="20"/>
                <w:szCs w:val="20"/>
              </w:rPr>
              <w:t xml:space="preserve">100%</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687 950 €</w:t>
            </w:r>
          </w:p>
        </w:tc>
      </w:tr>
    </w:tbl>
    <w:p>
      <w:pPr>
        <w:spacing w:after="0" w:before="0"/>
      </w:pPr>
      <w:r>
        <w:t xml:space="preserve"/>
      </w:r>
    </w:p>
    <w:p>
      <w:pPr>
        <w:spacing w:after="0" w:before="0"/>
      </w:pPr>
      <w:r>
        <w:t xml:space="preserve"/>
      </w:r>
    </w:p>
    <w:p>
      <w:pPr>
        <w:pStyle w:val="Heading2"/>
        <w:spacing w:after="100" w:before="240"/>
      </w:pPr>
      <w:r>
        <w:rPr>
          <w:rFonts w:ascii="Arial" w:cs="Arial" w:eastAsia="Arial" w:hAnsi="Arial"/>
          <w:b/>
          <w:bCs/>
          <w:color w:val="2E86C1"/>
          <w:sz w:val="28"/>
          <w:szCs w:val="28"/>
        </w:rPr>
        <w:t xml:space="preserve">5.5 Graphique — Score Conformité ANSSI</w:t>
      </w:r>
    </w:p>
    <w:p>
      <w:pPr>
        <w:spacing w:after="60" w:before="120"/>
        <w:jc w:val="left"/>
      </w:pPr>
      <w:r>
        <w:rPr>
          <w:rFonts w:ascii="Arial" w:cs="Arial" w:eastAsia="Arial" w:hAnsi="Arial"/>
          <w:b/>
          <w:bCs/>
          <w:i w:val="false"/>
          <w:iCs w:val="false"/>
          <w:color w:val="1A3A5C"/>
          <w:sz w:val="22"/>
          <w:szCs w:val="22"/>
        </w:rPr>
        <w:t xml:space="preserve">Conformité ANSSI (sur 42 recommandations)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200"/>
        <w:gridCol w:w="1038"/>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A — Light</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1E8449"/>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E8449"/>
                <w:sz w:val="20"/>
                <w:szCs w:val="20"/>
              </w:rPr>
              <w:t xml:space="preserve">81%</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34 €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B — Balanced</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2E86C1"/>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2E86C1"/>
                <w:sz w:val="20"/>
                <w:szCs w:val="20"/>
              </w:rPr>
              <w:t xml:space="preserve">90%</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38 €</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3A5C"/>
                <w:sz w:val="20"/>
                <w:szCs w:val="20"/>
              </w:rPr>
              <w:t xml:space="preserve">Scénario C — Enterprise</w:t>
            </w:r>
          </w:p>
        </w:tc>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ourier New" w:cs="Courier New" w:eastAsia="Courier New" w:hAnsi="Courier New"/>
                <w:color w:val="C0392B"/>
                <w:sz w:val="18"/>
                <w:szCs w:val="18"/>
              </w:rPr>
              <w:t xml:space="preserve">██████████████████████████████</w:t>
            </w:r>
          </w:p>
        </w:tc>
        <w:tc>
          <w:tcPr>
            <w:tcW w:type="dxa" w:w="1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C0392B"/>
                <w:sz w:val="20"/>
                <w:szCs w:val="20"/>
              </w:rPr>
              <w:t xml:space="preserve">100%</w:t>
            </w:r>
          </w:p>
        </w:tc>
        <w:tc>
          <w:tcPr>
            <w:tcW w:type="dxa" w:w="1038"/>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55555"/>
                <w:sz w:val="20"/>
                <w:szCs w:val="20"/>
              </w:rPr>
              <w:t xml:space="preserve">42 €</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E86C1"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RECOMMANDATION — Scénario B Balanced pour Nova Syndicate</w:t>
            </w:r>
          </w:p>
        </w:tc>
      </w:tr>
    </w:tbl>
    <w:p>
      <w:pPr>
        <w:spacing w:after="0" w:before="0"/>
      </w:pPr>
      <w:r>
        <w:t xml:space="preserve"/>
      </w:r>
    </w:p>
    <w:p>
      <w:pPr>
        <w:pStyle w:val="Heading1"/>
        <w:pBdr>
          <w:bottom w:val="single" w:color="2E86C1" w:sz="8" w:space="4"/>
        </w:pBdr>
        <w:spacing w:after="160" w:before="320"/>
      </w:pPr>
      <w:r>
        <w:rPr>
          <w:rFonts w:ascii="Arial" w:cs="Arial" w:eastAsia="Arial" w:hAnsi="Arial"/>
          <w:b/>
          <w:bCs/>
          <w:color w:val="1A3A5C"/>
          <w:sz w:val="36"/>
          <w:szCs w:val="36"/>
        </w:rPr>
        <w:t xml:space="preserve">6. Recommandation et Justification</w:t>
      </w:r>
    </w:p>
    <w:p>
      <w:pPr>
        <w:pStyle w:val="Heading2"/>
        <w:spacing w:after="100" w:before="240"/>
      </w:pPr>
      <w:r>
        <w:rPr>
          <w:rFonts w:ascii="Arial" w:cs="Arial" w:eastAsia="Arial" w:hAnsi="Arial"/>
          <w:b/>
          <w:bCs/>
          <w:color w:val="2E86C1"/>
          <w:sz w:val="28"/>
          <w:szCs w:val="28"/>
        </w:rPr>
        <w:t xml:space="preserve">6.1 Choix Recommandé : Scénario B — Balanced</w:t>
      </w:r>
    </w:p>
    <w:p>
      <w:pPr>
        <w:spacing w:after="80" w:before="80"/>
        <w:jc w:val="left"/>
      </w:pPr>
      <w:r>
        <w:rPr>
          <w:rFonts w:ascii="Arial" w:cs="Arial" w:eastAsia="Arial" w:hAnsi="Arial"/>
          <w:b w:val="false"/>
          <w:bCs w:val="false"/>
          <w:i w:val="false"/>
          <w:iCs w:val="false"/>
          <w:color w:val="000000"/>
          <w:sz w:val="22"/>
          <w:szCs w:val="22"/>
        </w:rPr>
        <w:t xml:space="preserve">Après analyse comparative des trois scénarios selon les critères financiers, sécuritaires et opérationnels de Nova Syndicate, le Scénario B — Balanced est la solution optimale. Voici la justification détaillée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100"/>
        <w:gridCol w:w="1100"/>
        <w:gridCol w:w="1100"/>
        <w:gridCol w:w="2038"/>
      </w:tblGrid>
      <w:tr>
        <w:tc>
          <w:tcPr>
            <w:tcW w:type="dxa" w:w="26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Critère</w:t>
            </w:r>
          </w:p>
        </w:tc>
        <w:tc>
          <w:tcPr>
            <w:tcW w:type="dxa" w:w="9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Poids</w:t>
            </w:r>
          </w:p>
        </w:tc>
        <w:tc>
          <w:tcPr>
            <w:tcW w:type="dxa" w:w="11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 A</w:t>
            </w:r>
          </w:p>
        </w:tc>
        <w:tc>
          <w:tcPr>
            <w:tcW w:type="dxa" w:w="11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 B</w:t>
            </w:r>
          </w:p>
        </w:tc>
        <w:tc>
          <w:tcPr>
            <w:tcW w:type="dxa" w:w="11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 C</w:t>
            </w:r>
          </w:p>
        </w:tc>
        <w:tc>
          <w:tcPr>
            <w:tcW w:type="dxa" w:w="20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Gagnant</w:t>
            </w:r>
          </w:p>
        </w:tc>
      </w:tr>
      <w:tr>
        <w:tc>
          <w:tcPr>
            <w:tcW w:type="dxa" w:w="26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TCO 5 ans (budget)</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25 %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 (mais limite sécurité)</w:t>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Niveau de sécurité</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B / C ex aequo</w:t>
            </w:r>
          </w:p>
        </w:tc>
      </w:tr>
      <w:tr>
        <w:tc>
          <w:tcPr>
            <w:tcW w:type="dxa" w:w="26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Conformité ANSSI</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B / C ex aequo</w:t>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Autonomie interne</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15 %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 / B ex aequo</w:t>
            </w:r>
          </w:p>
        </w:tc>
      </w:tr>
      <w:tr>
        <w:tc>
          <w:tcPr>
            <w:tcW w:type="dxa" w:w="26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Support contractuel</w:t>
            </w:r>
          </w:p>
        </w:tc>
        <w:tc>
          <w:tcPr>
            <w:tcW w:type="dxa" w:w="9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10 %</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11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w:t>
            </w:r>
          </w:p>
        </w:tc>
        <w:tc>
          <w:tcPr>
            <w:tcW w:type="dxa" w:w="20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C (hors budget)</w:t>
            </w:r>
          </w:p>
        </w:tc>
      </w:tr>
      <w:tr>
        <w:tc>
          <w:tcPr>
            <w:tcW w:type="dxa" w:w="26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SCORE PONDÉRÉ</w:t>
            </w:r>
          </w:p>
        </w:tc>
        <w:tc>
          <w:tcPr>
            <w:tcW w:type="dxa" w:w="9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100 %</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72 / 100</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 89 / 100</w:t>
            </w:r>
          </w:p>
        </w:tc>
        <w:tc>
          <w:tcPr>
            <w:tcW w:type="dxa" w:w="11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74 / 100</w:t>
            </w:r>
          </w:p>
        </w:tc>
        <w:tc>
          <w:tcPr>
            <w:tcW w:type="dxa" w:w="20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86C1"/>
                <w:sz w:val="21"/>
                <w:szCs w:val="21"/>
              </w:rPr>
              <w:t xml:space="preserve">SCÉNARIO B</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6.2 Économies réalisées vs Scénario C</w:t>
      </w:r>
    </w:p>
    <w:p>
      <w:pPr>
        <w:spacing w:after="80" w:before="80"/>
        <w:jc w:val="left"/>
      </w:pPr>
      <w:r>
        <w:rPr>
          <w:rFonts w:ascii="Arial" w:cs="Arial" w:eastAsia="Arial" w:hAnsi="Arial"/>
          <w:b w:val="false"/>
          <w:bCs w:val="false"/>
          <w:i w:val="false"/>
          <w:iCs w:val="false"/>
          <w:color w:val="000000"/>
          <w:sz w:val="22"/>
          <w:szCs w:val="22"/>
        </w:rPr>
        <w:t xml:space="preserve">Le Scénario B permet d'économiser 669 100 € sur 5 ans par rapport au Scénario C, pour une sécurité pratiquement équivalente (38/42 vs 42/42 recommandations ANSSI).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c>
          <w:tcPr>
            <w:tcW w:type="dxa" w:w="30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Comparaison B vs C</w:t>
            </w:r>
          </w:p>
        </w:tc>
        <w:tc>
          <w:tcPr>
            <w:tcW w:type="dxa" w:w="20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Scénario B</w:t>
            </w:r>
          </w:p>
        </w:tc>
        <w:tc>
          <w:tcPr>
            <w:tcW w:type="dxa" w:w="2000"/>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Scénario C</w:t>
            </w:r>
          </w:p>
        </w:tc>
        <w:tc>
          <w:tcPr>
            <w:tcW w:type="dxa" w:w="2638"/>
            <w:tcBorders>
              <w:top w:val="single" w:color="D5D8DC" w:sz="4"/>
              <w:left w:val="single" w:color="D5D8DC" w:sz="4"/>
              <w:bottom w:val="single" w:color="D5D8DC" w:sz="4"/>
              <w:right w:val="single" w:color="D5D8DC"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Économie</w:t>
            </w:r>
          </w:p>
        </w:tc>
      </w:tr>
      <w:tr>
        <w:tc>
          <w:tcPr>
            <w:tcW w:type="dxa" w:w="3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TCO 5 ans</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18 850 €</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687 950 €</w:t>
            </w:r>
          </w:p>
        </w:tc>
        <w:tc>
          <w:tcPr>
            <w:tcW w:type="dxa" w:w="2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bCs/>
                <w:color w:val="1E8449"/>
                <w:sz w:val="21"/>
                <w:szCs w:val="21"/>
              </w:rPr>
              <w:t xml:space="preserve">− 669 100 € (-97 %)</w:t>
            </w:r>
          </w:p>
        </w:tc>
      </w:tr>
      <w:tr>
        <w:tc>
          <w:tcPr>
            <w:tcW w:type="dxa" w:w="3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CAPEX An 1</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9 150 €</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100 425 €</w:t>
            </w:r>
          </w:p>
        </w:tc>
        <w:tc>
          <w:tcPr>
            <w:tcW w:type="dxa" w:w="2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1"/>
                <w:szCs w:val="21"/>
              </w:rPr>
              <w:t xml:space="preserve">− 91 275 € (-91 %)</w:t>
            </w:r>
          </w:p>
        </w:tc>
      </w:tr>
      <w:tr>
        <w:tc>
          <w:tcPr>
            <w:tcW w:type="dxa" w:w="3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OPEX Annuel</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1 780 €</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115 505 €</w:t>
            </w:r>
          </w:p>
        </w:tc>
        <w:tc>
          <w:tcPr>
            <w:tcW w:type="dxa" w:w="2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1"/>
                <w:szCs w:val="21"/>
              </w:rPr>
              <w:t xml:space="preserve">− 113 725 € (-98 %)</w:t>
            </w:r>
          </w:p>
        </w:tc>
      </w:tr>
      <w:tr>
        <w:tc>
          <w:tcPr>
            <w:tcW w:type="dxa" w:w="3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Conformité ANSSI</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38 / 42 (90 %)</w:t>
            </w:r>
          </w:p>
        </w:tc>
        <w:tc>
          <w:tcPr>
            <w:tcW w:type="dxa" w:w="20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42 / 42 (100 %)</w:t>
            </w:r>
          </w:p>
        </w:tc>
        <w:tc>
          <w:tcPr>
            <w:tcW w:type="dxa" w:w="26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−4 points (acceptable)</w:t>
            </w:r>
          </w:p>
        </w:tc>
      </w:tr>
      <w:tr>
        <w:tc>
          <w:tcPr>
            <w:tcW w:type="dxa" w:w="3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Vendor lock-in</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Aucun</w:t>
            </w:r>
          </w:p>
        </w:tc>
        <w:tc>
          <w:tcPr>
            <w:tcW w:type="dxa" w:w="20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Total (Broadcom + MS)</w:t>
            </w:r>
          </w:p>
        </w:tc>
        <w:tc>
          <w:tcPr>
            <w:tcW w:type="dxa" w:w="26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1"/>
                <w:szCs w:val="21"/>
              </w:rPr>
              <w:t xml:space="preserve">Liberté totale</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6.3 Plan d'Implémentation Recommandé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800"/>
        <w:gridCol w:w="2538"/>
      </w:tblGrid>
      <w:tr>
        <w:tc>
          <w:tcPr>
            <w:tcW w:type="dxa" w:w="18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Phase</w:t>
            </w:r>
          </w:p>
        </w:tc>
        <w:tc>
          <w:tcPr>
            <w:tcW w:type="dxa" w:w="15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Durée</w:t>
            </w:r>
          </w:p>
        </w:tc>
        <w:tc>
          <w:tcPr>
            <w:tcW w:type="dxa" w:w="3800"/>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Actions clés</w:t>
            </w:r>
          </w:p>
        </w:tc>
        <w:tc>
          <w:tcPr>
            <w:tcW w:type="dxa" w:w="2538"/>
            <w:tcBorders>
              <w:top w:val="single" w:color="D5D8DC" w:sz="4"/>
              <w:left w:val="single" w:color="D5D8DC" w:sz="4"/>
              <w:bottom w:val="single" w:color="D5D8DC" w:sz="4"/>
              <w:right w:val="single" w:color="D5D8DC" w:sz="4"/>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Budget estimé</w:t>
            </w:r>
          </w:p>
        </w:tc>
      </w:tr>
      <w:tr>
        <w:tc>
          <w:tcPr>
            <w:tcW w:type="dxa" w:w="1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Phase 1 — Socle</w:t>
            </w:r>
          </w:p>
        </w:tc>
        <w:tc>
          <w:tcPr>
            <w:tcW w:type="dxa" w:w="1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Semaines 1-3</w:t>
            </w:r>
          </w:p>
        </w:tc>
        <w:tc>
          <w:tcPr>
            <w:tcW w:type="dxa" w:w="3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Proxmox + pfSense + VLANs + Samba4 AD</w:t>
            </w:r>
          </w:p>
        </w:tc>
        <w:tc>
          <w:tcPr>
            <w:tcW w:type="dxa" w:w="25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6 500 €</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Phase 2 — Sécurité</w:t>
            </w:r>
          </w:p>
        </w:tc>
        <w:tc>
          <w:tcPr>
            <w:tcW w:type="dxa" w:w="1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Semaines 4-6</w:t>
            </w:r>
          </w:p>
        </w:tc>
        <w:tc>
          <w:tcPr>
            <w:tcW w:type="dxa" w:w="3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MFA + Wazuh EDR + Veeam + LUKS/BitLocker</w:t>
            </w:r>
          </w:p>
        </w:tc>
        <w:tc>
          <w:tcPr>
            <w:tcW w:type="dxa" w:w="25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2 000 €</w:t>
            </w:r>
          </w:p>
        </w:tc>
      </w:tr>
      <w:tr>
        <w:tc>
          <w:tcPr>
            <w:tcW w:type="dxa" w:w="1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Phase 3 — Monitoring</w:t>
            </w:r>
          </w:p>
        </w:tc>
        <w:tc>
          <w:tcPr>
            <w:tcW w:type="dxa" w:w="1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Semaines 7-8</w:t>
            </w:r>
          </w:p>
        </w:tc>
        <w:tc>
          <w:tcPr>
            <w:tcW w:type="dxa" w:w="3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Prometheus + Grafana + Scripts + GLPI</w:t>
            </w:r>
          </w:p>
        </w:tc>
        <w:tc>
          <w:tcPr>
            <w:tcW w:type="dxa" w:w="25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650 €</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Tests &amp; Validation</w:t>
            </w:r>
          </w:p>
        </w:tc>
        <w:tc>
          <w:tcPr>
            <w:tcW w:type="dxa" w:w="1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Semaine 9</w:t>
            </w:r>
          </w:p>
        </w:tc>
        <w:tc>
          <w:tcPr>
            <w:tcW w:type="dxa" w:w="3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PRA, PCA, tests charges, OpenSCAP audit</w:t>
            </w:r>
          </w:p>
        </w:tc>
        <w:tc>
          <w:tcPr>
            <w:tcW w:type="dxa" w:w="25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Inclus</w:t>
            </w:r>
          </w:p>
        </w:tc>
      </w:tr>
      <w:tr>
        <w:tc>
          <w:tcPr>
            <w:tcW w:type="dxa" w:w="1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Formation équipe</w:t>
            </w:r>
          </w:p>
        </w:tc>
        <w:tc>
          <w:tcPr>
            <w:tcW w:type="dxa" w:w="15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Semaine 10</w:t>
            </w:r>
          </w:p>
        </w:tc>
        <w:tc>
          <w:tcPr>
            <w:tcW w:type="dxa" w:w="3800"/>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Documentation, procédures, formations</w:t>
            </w:r>
          </w:p>
        </w:tc>
        <w:tc>
          <w:tcPr>
            <w:tcW w:type="dxa" w:w="2538"/>
            <w:tcBorders>
              <w:top w:val="single" w:color="D5D8DC" w:sz="4"/>
              <w:left w:val="single" w:color="D5D8DC" w:sz="4"/>
              <w:bottom w:val="single" w:color="D5D8DC" w:sz="4"/>
              <w:right w:val="single" w:color="D5D8DC" w:sz="4"/>
            </w:tcBorders>
            <w:shd w:fill="F2F4F7"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900 €</w:t>
            </w:r>
          </w:p>
        </w:tc>
      </w:tr>
      <w:tr>
        <w:tc>
          <w:tcPr>
            <w:tcW w:type="dxa" w:w="1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1"/>
                <w:szCs w:val="21"/>
              </w:rPr>
              <w:t xml:space="preserve">TOTAL</w:t>
            </w:r>
          </w:p>
        </w:tc>
        <w:tc>
          <w:tcPr>
            <w:tcW w:type="dxa" w:w="15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 semaines</w:t>
            </w:r>
          </w:p>
        </w:tc>
        <w:tc>
          <w:tcPr>
            <w:tcW w:type="dxa" w:w="3800"/>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Déploiement complet opérationnel</w:t>
            </w:r>
          </w:p>
        </w:tc>
        <w:tc>
          <w:tcPr>
            <w:tcW w:type="dxa" w:w="2538"/>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1"/>
                <w:szCs w:val="21"/>
              </w:rPr>
              <w:t xml:space="preserve">10 050 €</w:t>
            </w:r>
          </w:p>
        </w:tc>
      </w:tr>
    </w:tbl>
    <w:p>
      <w:pPr>
        <w:spacing w:after="0" w:before="0"/>
      </w:pPr>
      <w:r>
        <w:t xml:space="preserve"/>
      </w:r>
    </w:p>
    <w:p>
      <w:pPr>
        <w:pStyle w:val="Heading2"/>
        <w:spacing w:after="100" w:before="240"/>
      </w:pPr>
      <w:r>
        <w:rPr>
          <w:rFonts w:ascii="Arial" w:cs="Arial" w:eastAsia="Arial" w:hAnsi="Arial"/>
          <w:b/>
          <w:bCs/>
          <w:color w:val="2E86C1"/>
          <w:sz w:val="28"/>
          <w:szCs w:val="28"/>
        </w:rPr>
        <w:t xml:space="preserve">6.4 Conditions de Révision du Scénario</w:t>
      </w:r>
    </w:p>
    <w:p>
      <w:pPr>
        <w:spacing w:after="80" w:before="80"/>
        <w:jc w:val="left"/>
      </w:pPr>
      <w:r>
        <w:rPr>
          <w:rFonts w:ascii="Arial" w:cs="Arial" w:eastAsia="Arial" w:hAnsi="Arial"/>
          <w:b w:val="false"/>
          <w:bCs w:val="false"/>
          <w:i w:val="false"/>
          <w:iCs w:val="false"/>
          <w:color w:val="000000"/>
          <w:sz w:val="22"/>
          <w:szCs w:val="22"/>
        </w:rPr>
        <w:t xml:space="preserve">Une révision vers le Scénario C pourrait être envisagée dans les cas suivants :</w:t>
      </w:r>
    </w:p>
    <w:p>
      <w:pPr>
        <w:pStyle w:val="ListParagraph"/>
        <w:numPr>
          <w:ilvl w:val="0"/>
          <w:numId w:val="2"/>
        </w:numPr>
        <w:spacing w:after="40" w:before="40"/>
      </w:pPr>
      <w:r>
        <w:rPr>
          <w:rFonts w:ascii="Arial" w:cs="Arial" w:eastAsia="Arial" w:hAnsi="Arial"/>
          <w:b w:val="false"/>
          <w:bCs w:val="false"/>
          <w:sz w:val="22"/>
          <w:szCs w:val="22"/>
        </w:rPr>
        <w:t xml:space="preserve">Croissance de l'effectif au-delà de 200 personnes</w:t>
      </w:r>
    </w:p>
    <w:p>
      <w:pPr>
        <w:pStyle w:val="ListParagraph"/>
        <w:numPr>
          <w:ilvl w:val="0"/>
          <w:numId w:val="2"/>
        </w:numPr>
        <w:spacing w:after="40" w:before="40"/>
      </w:pPr>
      <w:r>
        <w:rPr>
          <w:rFonts w:ascii="Arial" w:cs="Arial" w:eastAsia="Arial" w:hAnsi="Arial"/>
          <w:b w:val="false"/>
          <w:bCs w:val="false"/>
          <w:sz w:val="22"/>
          <w:szCs w:val="22"/>
        </w:rPr>
        <w:t xml:space="preserve">Obligation légale de certification ISO 27001 avec audit externe annuel</w:t>
      </w:r>
    </w:p>
    <w:p>
      <w:pPr>
        <w:pStyle w:val="ListParagraph"/>
        <w:numPr>
          <w:ilvl w:val="0"/>
          <w:numId w:val="2"/>
        </w:numPr>
        <w:spacing w:after="40" w:before="40"/>
      </w:pPr>
      <w:r>
        <w:rPr>
          <w:rFonts w:ascii="Arial" w:cs="Arial" w:eastAsia="Arial" w:hAnsi="Arial"/>
          <w:b w:val="false"/>
          <w:bCs w:val="false"/>
          <w:sz w:val="22"/>
          <w:szCs w:val="22"/>
        </w:rPr>
        <w:t xml:space="preserve">Acquisition par un groupe imposant un socle VMware/Microsoft</w:t>
      </w:r>
    </w:p>
    <w:p>
      <w:pPr>
        <w:pStyle w:val="ListParagraph"/>
        <w:numPr>
          <w:ilvl w:val="0"/>
          <w:numId w:val="2"/>
        </w:numPr>
        <w:spacing w:after="40" w:before="40"/>
      </w:pPr>
      <w:r>
        <w:rPr>
          <w:rFonts w:ascii="Arial" w:cs="Arial" w:eastAsia="Arial" w:hAnsi="Arial"/>
          <w:b w:val="false"/>
          <w:bCs w:val="false"/>
          <w:sz w:val="22"/>
          <w:szCs w:val="22"/>
        </w:rPr>
        <w:t xml:space="preserve">Incident de sécurité majeur nécessitant un SOC externalisé 24/7</w:t>
      </w:r>
    </w:p>
    <w:p>
      <w:pPr>
        <w:spacing w:after="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86C1" w:sz="4"/>
              <w:left w:val="single" w:color="2E86C1" w:sz="4"/>
              <w:bottom w:val="single" w:color="2E86C1" w:sz="4"/>
              <w:right w:val="single" w:color="2E86C1" w:sz="4"/>
            </w:tcBorders>
            <w:shd w:fill="D6EAF8" w:val="clear"/>
            <w:tcMar>
              <w:top w:type="dxa" w:w="150"/>
              <w:left w:type="dxa" w:w="250"/>
              <w:bottom w:type="dxa" w:w="150"/>
              <w:right w:type="dxa" w:w="250"/>
            </w:tcMar>
          </w:tcPr>
          <w:p>
            <w:pPr>
              <w:spacing w:after="40" w:before="40"/>
              <w:jc w:val="center"/>
            </w:pPr>
            <w:r>
              <w:rPr>
                <w:rFonts w:ascii="Arial" w:cs="Arial" w:eastAsia="Arial" w:hAnsi="Arial"/>
                <w:b/>
                <w:bCs/>
                <w:color w:val="1A3A5C"/>
                <w:sz w:val="26"/>
                <w:szCs w:val="26"/>
              </w:rPr>
              <w:t xml:space="preserve">CONCLUSION — DÉCISION D'INVESTISSEMENT</w:t>
            </w:r>
          </w:p>
          <w:p>
            <w:pPr>
              <w:spacing w:after="40" w:before="60"/>
              <w:jc w:val="center"/>
            </w:pPr>
            <w:r>
              <w:rPr>
                <w:rFonts w:ascii="Arial" w:cs="Arial" w:eastAsia="Arial" w:hAnsi="Arial"/>
                <w:color w:val="1A3A5C"/>
                <w:sz w:val="22"/>
                <w:szCs w:val="22"/>
              </w:rPr>
              <w:t xml:space="preserve">Nova Syndicate dispose avec le Scénario B d'une infrastructure sécurisée, </w:t>
            </w:r>
            <w:r>
              <w:rPr>
                <w:rFonts w:ascii="Arial" w:cs="Arial" w:eastAsia="Arial" w:hAnsi="Arial"/>
                <w:b/>
                <w:bCs/>
                <w:color w:val="2E86C1"/>
                <w:sz w:val="22"/>
                <w:szCs w:val="22"/>
              </w:rPr>
              <w:t xml:space="preserve">conforme à 90 % des recommandations ANSSI</w:t>
            </w:r>
            <w:r>
              <w:rPr>
                <w:rFonts w:ascii="Arial" w:cs="Arial" w:eastAsia="Arial" w:hAnsi="Arial"/>
                <w:color w:val="1A3A5C"/>
                <w:sz w:val="22"/>
                <w:szCs w:val="22"/>
              </w:rPr>
              <w:t xml:space="preserve">, pour un investissement total de </w:t>
            </w:r>
            <w:r>
              <w:rPr>
                <w:rFonts w:ascii="Arial" w:cs="Arial" w:eastAsia="Arial" w:hAnsi="Arial"/>
                <w:b/>
                <w:bCs/>
                <w:color w:val="2E86C1"/>
                <w:sz w:val="22"/>
                <w:szCs w:val="22"/>
              </w:rPr>
              <w:t xml:space="preserve">18 850 € sur 5 ans</w:t>
            </w:r>
            <w:r>
              <w:rPr>
                <w:rFonts w:ascii="Arial" w:cs="Arial" w:eastAsia="Arial" w:hAnsi="Arial"/>
                <w:color w:val="1A3A5C"/>
                <w:sz w:val="22"/>
                <w:szCs w:val="22"/>
              </w:rPr>
              <w:t xml:space="preserve">, soit 94 % moins cher que le Scénario Enterprise (687 950 €).</w:t>
            </w:r>
          </w:p>
          <w:p>
            <w:pPr>
              <w:spacing w:after="40" w:before="40"/>
              <w:jc w:val="center"/>
            </w:pPr>
            <w:r>
              <w:rPr>
                <w:rFonts w:ascii="Arial" w:cs="Arial" w:eastAsia="Arial" w:hAnsi="Arial"/>
                <w:b/>
                <w:bCs/>
                <w:color w:val="2E86C1"/>
                <w:sz w:val="24"/>
                <w:szCs w:val="24"/>
              </w:rPr>
              <w:t xml:space="preserve">CAPEX AN 1 : 9 150 €  |  OPEX ANNUEL : 1 780 €  |  TCO 5 ANS : 18 850 €</w:t>
            </w:r>
          </w:p>
        </w:tc>
      </w:tr>
    </w:tbl>
    <w:p>
      <w:pPr>
        <w:spacing w:after="0" w:before="0"/>
      </w:pPr>
      <w:r>
        <w:t xml:space="preserve"/>
      </w:r>
    </w:p>
    <w:p>
      <w:pPr>
        <w:spacing w:after="0" w:before="0"/>
      </w:pPr>
      <w:r>
        <w:t xml:space="preserve"/>
      </w:r>
    </w:p>
    <w:p>
      <w:pPr>
        <w:spacing w:after="60" w:before="60"/>
        <w:jc w:val="center"/>
      </w:pPr>
      <w:r>
        <w:rPr>
          <w:rFonts w:ascii="Arial" w:cs="Arial" w:eastAsia="Arial" w:hAnsi="Arial"/>
          <w:b w:val="false"/>
          <w:bCs w:val="false"/>
          <w:i/>
          <w:iCs/>
          <w:color w:val="D5D8DC"/>
          <w:sz w:val="18"/>
          <w:szCs w:val="18"/>
        </w:rPr>
        <w:t xml:space="preserve">Document généré par Nova Syndicate — Équipe IT | Avril 2026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jc w:val="center"/>
    </w:pPr>
    <w:r>
      <w:rPr>
        <w:rFonts w:ascii="Arial" w:cs="Arial" w:eastAsia="Arial" w:hAnsi="Arial"/>
        <w:color w:val="555555"/>
        <w:sz w:val="18"/>
        <w:szCs w:val="18"/>
      </w:rPr>
      <w:t xml:space="preserve">Page </w:t>
    </w:r>
    <w:r>
      <w:rPr>
        <w:rFonts w:ascii="Arial" w:cs="Arial" w:eastAsia="Arial" w:hAnsi="Arial"/>
        <w:color w:val="2E86C1"/>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Nova Syndicate Infrastructure Sécurisée — Avril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color w:val="555555"/>
        <w:sz w:val="18"/>
        <w:szCs w:val="18"/>
      </w:rPr>
      <w:t xml:space="preserve">Nova Syndicate — Analyse CAPEX / OPEX  |  </w:t>
    </w:r>
    <w:r>
      <w:rPr>
        <w:rFonts w:ascii="Arial" w:cs="Arial" w:eastAsia="Arial" w:hAnsi="Arial"/>
        <w:b/>
        <w:bCs/>
        <w:color w:val="C0392B"/>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2026-04-13T16:09:07.606Z</dcterms:created>
  <dcterms:modified xsi:type="dcterms:W3CDTF">2026-04-13T16:09:07.606Z</dcterms:modified>
</cp:coreProperties>
</file>

<file path=docProps/custom.xml><?xml version="1.0" encoding="utf-8"?>
<Properties xmlns="http://schemas.openxmlformats.org/officeDocument/2006/custom-properties" xmlns:vt="http://schemas.openxmlformats.org/officeDocument/2006/docPropsVTypes"/>
</file>