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rFonts w:ascii="Arial" w:cs="Arial" w:eastAsia="Arial" w:hAnsi="Arial"/>
          <w:b/>
          <w:bCs/>
          <w:color w:val="1F3864"/>
          <w:sz w:val="72"/>
          <w:szCs w:val="72"/>
        </w:rPr>
        <w:t xml:space="preserve">NOVA SYNDICATE</w:t>
      </w:r>
    </w:p>
    <w:p>
      <w:pPr>
        <w:shd w:fill="2E75B6" w:val="clear"/>
        <w:spacing w:after="0" w:before="120"/>
        <w:jc w:val="center"/>
      </w:pPr>
      <w:r>
        <w:rPr>
          <w:rFonts w:ascii="Arial" w:cs="Arial" w:eastAsia="Arial" w:hAnsi="Arial"/>
          <w:b/>
          <w:bCs/>
          <w:color w:val="FFFFFF"/>
          <w:sz w:val="36"/>
          <w:szCs w:val="36"/>
        </w:rPr>
        <w:t xml:space="preserve">  Phase I — Analyse des Besoins &amp; Architecture Proposée  </w:t>
      </w:r>
    </w:p>
    <w:p>
      <w:pPr>
        <w:spacing w:after="80" w:before="280"/>
        <w:jc w:val="center"/>
      </w:pPr>
      <w:r>
        <w:rPr>
          <w:rFonts w:ascii="Arial" w:cs="Arial" w:eastAsia="Arial" w:hAnsi="Arial"/>
          <w:color w:val="555555"/>
          <w:sz w:val="26"/>
          <w:szCs w:val="26"/>
        </w:rPr>
        <w:t xml:space="preserve">Document d'évaluation de l'infrastructure IT</w:t>
      </w:r>
    </w:p>
    <w:p>
      <w:pPr>
        <w:spacing w:after="80" w:before="80"/>
        <w:jc w:val="center"/>
      </w:pPr>
      <w:r>
        <w:rPr>
          <w:rFonts w:ascii="Arial" w:cs="Arial" w:eastAsia="Arial" w:hAnsi="Arial"/>
          <w:color w:val="888888"/>
          <w:sz w:val="22"/>
          <w:szCs w:val="22"/>
        </w:rPr>
        <w:t xml:space="preserve">Audit de conformité | ANSSI · ISO 27001:2022 · RGPD · ITIL 4</w:t>
      </w:r>
    </w:p>
    <w:p>
      <w:pPr>
        <w:spacing w:after="80" w:before="480"/>
        <w:jc w:val="center"/>
      </w:pPr>
      <w:r>
        <w:rPr>
          <w:rFonts w:ascii="Arial" w:cs="Arial" w:eastAsia="Arial" w:hAnsi="Arial"/>
          <w:b/>
          <w:bCs/>
          <w:color w:val="1F3864"/>
          <w:sz w:val="22"/>
          <w:szCs w:val="22"/>
        </w:rPr>
        <w:t xml:space="preserve">Version 2.0 — Avril 2026  |  CONFIDENTIEL</w:t>
      </w:r>
    </w:p>
    <w:p>
      <w:pPr>
        <w:spacing w:after="60" w:before="60"/>
      </w:pPr>
      <w:r>
        <w:t xml:space="preserve"/>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Client</w:t>
            </w:r>
          </w:p>
        </w:tc>
        <w:tc>
          <w:tcPr>
            <w:tcW w:type="dxa" w:w="45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Nova Syndicate</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Secteur</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Logistique High-Tech (médical, aérospatial, défense)</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Sites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Lyon (HQ — 40 emp.) + Marseille (25 emp.) + 20 nomades</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Effectif total</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85 employés</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Phase</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Phase I — Analyse &amp; Architecture</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Date</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Avril 2026</w:t>
            </w:r>
          </w:p>
        </w:tc>
      </w:tr>
    </w:tbl>
    <w:p>
      <w:r>
        <w:br w:type="page"/>
      </w:r>
    </w:p>
    <w:p>
      <w:pPr>
        <w:pStyle w:val="Heading1"/>
        <w:spacing w:after="140" w:before="280"/>
      </w:pPr>
      <w:r>
        <w:rPr>
          <w:rFonts w:ascii="Arial" w:cs="Arial" w:eastAsia="Arial" w:hAnsi="Arial"/>
          <w:b/>
          <w:bCs/>
          <w:color w:val="1F3864"/>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Arial" w:cs="Arial" w:eastAsia="Arial" w:hAnsi="Arial"/>
          <w:b/>
          <w:bCs/>
          <w:color w:val="1F3864"/>
        </w:rPr>
        <w:t xml:space="preserve">Section 1 — Présentation de Nova Syndicate</w:t>
      </w:r>
    </w:p>
    <w:p>
      <w:pPr>
        <w:pStyle w:val="Heading2"/>
        <w:spacing w:after="140" w:before="280"/>
      </w:pPr>
      <w:r>
        <w:rPr>
          <w:rFonts w:ascii="Arial" w:cs="Arial" w:eastAsia="Arial" w:hAnsi="Arial"/>
          <w:b/>
          <w:bCs/>
          <w:color w:val="1F3864"/>
        </w:rPr>
        <w:t xml:space="preserve">1.1 Fiche d'Identité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Critère</w:t>
            </w:r>
          </w:p>
        </w:tc>
        <w:tc>
          <w:tcPr>
            <w:tcW w:type="dxa" w:w="5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Détail</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Nom</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Nova Syndicate</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Secteur</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Logistique High-Tech — composants critiques (médical, aérospatial, défense)</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Siège social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Lyon (40 employés)</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Site secondaire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Marseille — bureau régional (25 employés)</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Nomades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20 commerciaux itinérants sur tout le territoire</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Effectif total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85 employés</w:t>
            </w:r>
          </w:p>
        </w:tc>
      </w:tr>
      <w:tr>
        <w:trPr>
          <w:tblHeader w:val="false"/>
        </w:trP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Criticité des données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Très haute — secteurs réglementés (médical, défense)</w:t>
            </w:r>
          </w:p>
        </w:tc>
      </w:tr>
    </w:tbl>
    <w:p>
      <w:pPr>
        <w:spacing w:after="60" w:before="60"/>
      </w:pPr>
      <w:r>
        <w:t xml:space="preserve"/>
      </w:r>
    </w:p>
    <w:p>
      <w:pPr>
        <w:pStyle w:val="Heading2"/>
        <w:spacing w:after="140" w:before="280"/>
      </w:pPr>
      <w:r>
        <w:rPr>
          <w:rFonts w:ascii="Arial" w:cs="Arial" w:eastAsia="Arial" w:hAnsi="Arial"/>
          <w:b/>
          <w:bCs/>
          <w:color w:val="1F3864"/>
        </w:rPr>
        <w:t xml:space="preserve">1.2 Contexte de la Mission</w:t>
      </w:r>
    </w:p>
    <w:p>
      <w:pPr>
        <w:spacing w:after="80" w:before="80"/>
      </w:pPr>
      <w:r>
        <w:rPr>
          <w:rFonts w:ascii="Arial" w:cs="Arial" w:eastAsia="Arial" w:hAnsi="Arial"/>
          <w:sz w:val="22"/>
          <w:szCs w:val="22"/>
        </w:rPr>
        <w:t xml:space="preserve">Nova Syndicate opère dans un secteur hautement réglementé requérant des garanties strictes de confidentialité, d'intégrité et de disponibilité (CIA) des données. L'organisation actuelle présente des failles critiques en matière de gouvernance IT, de segmentation réseau et de continuité de service.</w:t>
      </w:r>
    </w:p>
    <w:p>
      <w:pPr>
        <w:spacing w:after="60" w:before="60"/>
      </w:pPr>
      <w:r>
        <w:t xml:space="preserve"/>
      </w:r>
    </w:p>
    <w:p>
      <w:pPr>
        <w:spacing w:after="80" w:before="80"/>
      </w:pPr>
      <w:r>
        <w:rPr>
          <w:rFonts w:ascii="Arial" w:cs="Arial" w:eastAsia="Arial" w:hAnsi="Arial"/>
          <w:sz w:val="22"/>
          <w:szCs w:val="22"/>
        </w:rPr>
        <w:t xml:space="preserve">Problèmes actuels identifiés :</w:t>
      </w:r>
    </w:p>
    <w:p>
      <w:pPr>
        <w:pStyle w:val="ListParagraph"/>
        <w:numPr>
          <w:ilvl w:val="0"/>
          <w:numId w:val="2"/>
        </w:numPr>
        <w:spacing w:after="60" w:before="60"/>
      </w:pPr>
      <w:r>
        <w:rPr>
          <w:rFonts w:ascii="Arial" w:cs="Arial" w:eastAsia="Arial" w:hAnsi="Arial"/>
          <w:sz w:val="22"/>
          <w:szCs w:val="22"/>
        </w:rPr>
        <w:t xml:space="preserve">Partage de fichiers incohérent : aucune solution unifiée de stockage partagé</w:t>
      </w:r>
    </w:p>
    <w:p>
      <w:pPr>
        <w:pStyle w:val="ListParagraph"/>
        <w:numPr>
          <w:ilvl w:val="0"/>
          <w:numId w:val="2"/>
        </w:numPr>
        <w:spacing w:after="60" w:before="60"/>
      </w:pPr>
      <w:r>
        <w:rPr>
          <w:rFonts w:ascii="Arial" w:cs="Arial" w:eastAsia="Arial" w:hAnsi="Arial"/>
          <w:sz w:val="22"/>
          <w:szCs w:val="22"/>
        </w:rPr>
        <w:t xml:space="preserve">Gestion des utilisateurs manuelle : absence d'annuaire centralisé (Active Directory / LDAP)</w:t>
      </w:r>
    </w:p>
    <w:p>
      <w:pPr>
        <w:pStyle w:val="ListParagraph"/>
        <w:numPr>
          <w:ilvl w:val="0"/>
          <w:numId w:val="2"/>
        </w:numPr>
        <w:spacing w:after="60" w:before="60"/>
      </w:pPr>
      <w:r>
        <w:rPr>
          <w:rFonts w:ascii="Arial" w:cs="Arial" w:eastAsia="Arial" w:hAnsi="Arial"/>
          <w:sz w:val="22"/>
          <w:szCs w:val="22"/>
        </w:rPr>
        <w:t xml:space="preserve">Aucun système de surveillance ni d'alertes en temps réel</w:t>
      </w:r>
    </w:p>
    <w:p>
      <w:pPr>
        <w:pStyle w:val="ListParagraph"/>
        <w:numPr>
          <w:ilvl w:val="0"/>
          <w:numId w:val="2"/>
        </w:numPr>
        <w:spacing w:after="60" w:before="60"/>
      </w:pPr>
      <w:r>
        <w:rPr>
          <w:rFonts w:ascii="Arial" w:cs="Arial" w:eastAsia="Arial" w:hAnsi="Arial"/>
          <w:sz w:val="22"/>
          <w:szCs w:val="22"/>
        </w:rPr>
        <w:t xml:space="preserve">Absence de politique de sauvegarde formalisée et testée</w:t>
      </w:r>
    </w:p>
    <w:p>
      <w:pPr>
        <w:pStyle w:val="ListParagraph"/>
        <w:numPr>
          <w:ilvl w:val="0"/>
          <w:numId w:val="2"/>
        </w:numPr>
        <w:spacing w:after="60" w:before="60"/>
      </w:pPr>
      <w:r>
        <w:rPr>
          <w:rFonts w:ascii="Arial" w:cs="Arial" w:eastAsia="Arial" w:hAnsi="Arial"/>
          <w:sz w:val="22"/>
          <w:szCs w:val="22"/>
        </w:rPr>
        <w:t xml:space="preserve">Infrastructure fragmentée entre les deux sites et les agents distants</w:t>
      </w:r>
    </w:p>
    <w:p>
      <w:pPr>
        <w:pStyle w:val="ListParagraph"/>
        <w:numPr>
          <w:ilvl w:val="0"/>
          <w:numId w:val="2"/>
        </w:numPr>
        <w:spacing w:after="60" w:before="60"/>
      </w:pPr>
      <w:r>
        <w:rPr>
          <w:rFonts w:ascii="Arial" w:cs="Arial" w:eastAsia="Arial" w:hAnsi="Arial"/>
          <w:sz w:val="22"/>
          <w:szCs w:val="22"/>
        </w:rPr>
        <w:t xml:space="preserve">Aucune solution d'accès distant sécurisé pour les commerciaux nomades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Objectif</w:t>
            </w:r>
          </w:p>
        </w:tc>
        <w:tc>
          <w:tcPr>
            <w:tcW w:type="dxa" w:w="7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Concevoir, déployer et documenter une infrastructure informatique centralisée, sécurisée, évolutive et facile à administrer à distance pour l'ensemble des 85 collaborateurs de Nova Syndicate, en conformité avec les bonnes pratiques de l'ANSSI et le référentiel ITIL.</w:t>
            </w:r>
          </w:p>
        </w:tc>
      </w:tr>
    </w:tbl>
    <w:p>
      <w:r>
        <w:br w:type="page"/>
      </w:r>
    </w:p>
    <w:p>
      <w:pPr>
        <w:pStyle w:val="Heading1"/>
        <w:spacing w:after="140" w:before="280"/>
      </w:pPr>
      <w:r>
        <w:rPr>
          <w:rFonts w:ascii="Arial" w:cs="Arial" w:eastAsia="Arial" w:hAnsi="Arial"/>
          <w:b/>
          <w:bCs/>
          <w:color w:val="1F3864"/>
        </w:rPr>
        <w:t xml:space="preserve">Section 2 — Analyse des Besoins (MoSCoW)</w:t>
      </w:r>
    </w:p>
    <w:p>
      <w:pPr>
        <w:pStyle w:val="Heading2"/>
        <w:spacing w:after="140" w:before="280"/>
      </w:pPr>
      <w:r>
        <w:rPr>
          <w:rFonts w:ascii="Arial" w:cs="Arial" w:eastAsia="Arial" w:hAnsi="Arial"/>
          <w:b/>
          <w:bCs/>
          <w:color w:val="1F3864"/>
        </w:rPr>
        <w:t xml:space="preserve">2.1 Besoins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Priorité</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Besoin</w:t>
            </w:r>
          </w:p>
        </w:tc>
        <w:tc>
          <w:tcPr>
            <w:tcW w:type="dxa" w:w="4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Détail</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MUST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Annuaire centralisé</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Active Directory / Samba4 avec réplication Lyon-Marseille</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MUST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Partage de fichiers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SMB3 avec chiffrement, ACL par département</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MUST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Base de données SQL</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MariaDB Primary/Replica — ACID compliant</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MUST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VPN nomades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Accès sécurisé &lt; 80 ms latence</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MUST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Sauvegarde 3-2-1-1-0</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Règle de sauvegarde avec stockage immuable S3</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E67E22"/>
                <w:sz w:val="20"/>
                <w:szCs w:val="20"/>
              </w:rPr>
              <w:t xml:space="preserve">SHOULD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MFA</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Authentification multi-facteur pour tous les accès</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E67E22"/>
                <w:sz w:val="20"/>
                <w:szCs w:val="20"/>
              </w:rPr>
              <w:t xml:space="preserve">SHOULD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SIEM/Monitoring</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Wazuh + Prometheus/Grafana</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COULD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Virtualisation HA</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Proxmox VE Cluster haute disponibilité</w:t>
            </w:r>
          </w:p>
        </w:tc>
      </w:tr>
      <w:tr>
        <w:trPr>
          <w:tblHeader w:val="false"/>
        </w:trP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7F8C8D"/>
                <w:sz w:val="20"/>
                <w:szCs w:val="20"/>
              </w:rPr>
              <w:t xml:space="preserve">WON'T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Cloud public total</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Contraintes RGPD localité données — exclu Phase I</w:t>
            </w:r>
          </w:p>
        </w:tc>
      </w:tr>
    </w:tbl>
    <w:p>
      <w:pPr>
        <w:spacing w:after="60" w:before="60"/>
      </w:pPr>
      <w:r>
        <w:t xml:space="preserve"/>
      </w:r>
    </w:p>
    <w:p>
      <w:pPr>
        <w:pStyle w:val="Heading2"/>
        <w:spacing w:after="140" w:before="280"/>
      </w:pPr>
      <w:r>
        <w:rPr>
          <w:rFonts w:ascii="Arial" w:cs="Arial" w:eastAsia="Arial" w:hAnsi="Arial"/>
          <w:b/>
          <w:bCs/>
          <w:color w:val="1F3864"/>
        </w:rPr>
        <w:t xml:space="preserve">2.2 Besoins Opérationnels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Métrique</w:t>
            </w:r>
          </w:p>
        </w:tc>
        <w:tc>
          <w:tcPr>
            <w:tcW w:type="dxa" w:w="5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Valeur cible</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Disponibilité SLA</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 99,5 % (max 3,6 h interruption/an par service)</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Latence VPN nomades</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80 ms (qualité UX acceptable)</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Réplication SQL inter-sites</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50 ms (LAN haute vitesse)</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Capacité AD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1 000 utilisateurs/objets max (overhead 15 %)</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Capacité SQL</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10 000 transactions/sec, 500 GB données (croissance 20 %/an)</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Capacité SMB</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5 TB données opérationnelles (croissance 2 TB/an)</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VPN simultané</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20 utilisateurs nomades, 10 Mbps/connexion</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RTO (reprise activité)</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2 h datacenter complet</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Conformité</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ANSSI, ISO 27001:2022, RGPD, ITIL 4</w:t>
            </w:r>
          </w:p>
        </w:tc>
      </w:tr>
    </w:tbl>
    <w:p>
      <w:r>
        <w:br w:type="page"/>
      </w:r>
    </w:p>
    <w:p>
      <w:pPr>
        <w:pStyle w:val="Heading1"/>
        <w:spacing w:after="140" w:before="280"/>
      </w:pPr>
      <w:r>
        <w:rPr>
          <w:rFonts w:ascii="Arial" w:cs="Arial" w:eastAsia="Arial" w:hAnsi="Arial"/>
          <w:b/>
          <w:bCs/>
          <w:color w:val="1F3864"/>
        </w:rPr>
        <w:t xml:space="preserve">Section 3 — Architecture Proposée</w:t>
      </w:r>
    </w:p>
    <w:p>
      <w:pPr>
        <w:pStyle w:val="Heading2"/>
        <w:spacing w:after="140" w:before="280"/>
      </w:pPr>
      <w:r>
        <w:rPr>
          <w:rFonts w:ascii="Arial" w:cs="Arial" w:eastAsia="Arial" w:hAnsi="Arial"/>
          <w:b/>
          <w:bCs/>
          <w:color w:val="1F3864"/>
        </w:rPr>
        <w:t xml:space="preserve">3.1 Les 4 Piliers de l'Infrastructure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4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Pilier</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Composant</w:t>
            </w:r>
          </w:p>
        </w:tc>
        <w:tc>
          <w:tcPr>
            <w:tcW w:type="dxa" w:w="4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Rôle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Identité</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Samba4 Active Directory</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Authentification centralisée, RBAC, GPO, réplication inter-sites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Stockage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Samba File Server + LUKS2</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Partages chiffrés par département, ACL granulaires, quota</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Base de données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MariaDB Primary/Replica</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SGBD ACID, réplication synchrone, backup automatique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Virtualisation</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Proxmox VE Cluster</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4 VMs + 1 réserve, live migration, snapshots quotidiens</w:t>
            </w:r>
          </w:p>
        </w:tc>
      </w:tr>
    </w:tbl>
    <w:p>
      <w:pPr>
        <w:spacing w:after="60" w:before="60"/>
      </w:pPr>
      <w:r>
        <w:t xml:space="preserve"/>
      </w:r>
    </w:p>
    <w:p>
      <w:pPr>
        <w:pStyle w:val="Heading2"/>
        <w:spacing w:after="140" w:before="280"/>
      </w:pPr>
      <w:r>
        <w:rPr>
          <w:rFonts w:ascii="Arial" w:cs="Arial" w:eastAsia="Arial" w:hAnsi="Arial"/>
          <w:b/>
          <w:bCs/>
          <w:color w:val="1F3864"/>
        </w:rPr>
        <w:t xml:space="preserve">3.2 Schéma Logique de l'Infrastructure</w:t>
      </w:r>
    </w:p>
    <w:p>
      <w:pPr>
        <w:spacing w:after="80" w:before="80"/>
      </w:pPr>
      <w:r>
        <w:rPr>
          <w:rFonts w:ascii="Arial" w:cs="Arial" w:eastAsia="Arial" w:hAnsi="Arial"/>
          <w:sz w:val="22"/>
          <w:szCs w:val="22"/>
        </w:rPr>
        <w:t xml:space="preserve">Topologie réseau multi-sites avec segmentation VLAN et accès nomade via VPN :</w:t>
      </w:r>
    </w:p>
    <w:p>
      <w:pPr>
        <w:spacing w:after="60" w:before="60"/>
      </w:pPr>
      <w:r>
        <w:t xml:space="preserve"/>
      </w:r>
    </w:p>
    <w:p>
      <w:pPr>
        <w:shd w:fill="1A1A2E" w:val="clear"/>
        <w:spacing w:after="80" w:before="80"/>
      </w:pPr>
      <w:r>
        <w:rPr>
          <w:rFonts w:ascii="Courier New" w:cs="Courier New" w:eastAsia="Courier New" w:hAnsi="Courier New"/>
          <w:color w:val="00FF00"/>
          <w:sz w:val="16"/>
          <w:szCs w:val="16"/>
        </w:rPr>
        <w:t xml:space="preserve"/>
      </w:r>
    </w:p>
    <w:p>
      <w:pPr>
        <w:shd w:fill="1A1A2E" w:val="clear"/>
      </w:pPr>
      <w:r>
        <w:rPr>
          <w:rFonts w:ascii="Courier New" w:cs="Courier New" w:eastAsia="Courier New" w:hAnsi="Courier New"/>
          <w:color w:val="00FF00"/>
          <w:sz w:val="16"/>
          <w:szCs w:val="16"/>
        </w:rPr>
        <w:t xml:space="preserve">                         NOVA SYNDICATE — Topologie Logique</w:t>
      </w:r>
    </w:p>
    <w:p>
      <w:pPr>
        <w:shd w:fill="1A1A2E" w:val="clear"/>
      </w:pPr>
      <w:r>
        <w:rPr>
          <w:rFonts w:ascii="Courier New" w:cs="Courier New" w:eastAsia="Courier New" w:hAnsi="Courier New"/>
          <w:color w:val="00FF00"/>
          <w:sz w:val="16"/>
          <w:szCs w:val="16"/>
        </w:rPr>
        <w:t xml:space="preserve">  ┌──────────────────────────────────────────────────────────────────────────┐</w:t>
      </w:r>
    </w:p>
    <w:p>
      <w:pPr>
        <w:shd w:fill="1A1A2E" w:val="clear"/>
      </w:pPr>
      <w:r>
        <w:rPr>
          <w:rFonts w:ascii="Courier New" w:cs="Courier New" w:eastAsia="Courier New" w:hAnsi="Courier New"/>
          <w:color w:val="00FF00"/>
          <w:sz w:val="16"/>
          <w:szCs w:val="16"/>
        </w:rPr>
        <w:t xml:space="preserve">  │                     INTERNET / LIAISONS WAN                             │</w:t>
      </w:r>
    </w:p>
    <w:p>
      <w:pPr>
        <w:shd w:fill="1A1A2E" w:val="clear"/>
      </w:pPr>
      <w:r>
        <w:rPr>
          <w:rFonts w:ascii="Courier New" w:cs="Courier New" w:eastAsia="Courier New" w:hAnsi="Courier New"/>
          <w:color w:val="00FF00"/>
          <w:sz w:val="16"/>
          <w:szCs w:val="16"/>
        </w:rPr>
        <w:t xml:space="preserve">  │                  MPLS 100 Mbps + VPN IPSec backup                       │</w:t>
      </w:r>
    </w:p>
    <w:p>
      <w:pPr>
        <w:shd w:fill="1A1A2E" w:val="clear"/>
      </w:pPr>
      <w:r>
        <w:rPr>
          <w:rFonts w:ascii="Courier New" w:cs="Courier New" w:eastAsia="Courier New" w:hAnsi="Courier New"/>
          <w:color w:val="00FF00"/>
          <w:sz w:val="16"/>
          <w:szCs w:val="16"/>
        </w:rPr>
        <w:t xml:space="preserve">  └────────────┬───────────────────────────────────────┬───────────────────┘</w:t>
      </w:r>
    </w:p>
    <w:p>
      <w:pPr>
        <w:shd w:fill="1A1A2E" w:val="clear"/>
      </w:pPr>
      <w:r>
        <w:rPr>
          <w:rFonts w:ascii="Courier New" w:cs="Courier New" w:eastAsia="Courier New" w:hAnsi="Courier New"/>
          <w:color w:val="00FF00"/>
          <w:sz w:val="16"/>
          <w:szCs w:val="16"/>
        </w:rPr>
        <w:t xml:space="preserve">               │                                       │</w:t>
      </w:r>
    </w:p>
    <w:p>
      <w:pPr>
        <w:shd w:fill="1A1A2E" w:val="clear"/>
      </w:pPr>
      <w:r>
        <w:rPr>
          <w:rFonts w:ascii="Courier New" w:cs="Courier New" w:eastAsia="Courier New" w:hAnsi="Courier New"/>
          <w:color w:val="00FF00"/>
          <w:sz w:val="16"/>
          <w:szCs w:val="16"/>
        </w:rPr>
        <w:t xml:space="preserve">  ┌────────────▼──────────────┐         ┌─────────────▼──────────────┐</w:t>
      </w:r>
    </w:p>
    <w:p>
      <w:pPr>
        <w:shd w:fill="1A1A2E" w:val="clear"/>
      </w:pPr>
      <w:r>
        <w:rPr>
          <w:rFonts w:ascii="Courier New" w:cs="Courier New" w:eastAsia="Courier New" w:hAnsi="Courier New"/>
          <w:color w:val="00FF00"/>
          <w:sz w:val="16"/>
          <w:szCs w:val="16"/>
        </w:rPr>
        <w:t xml:space="preserve">  │   SITE LYON (HQ)          │         │   SITE MARSEILLE           │</w:t>
      </w:r>
    </w:p>
    <w:p>
      <w:pPr>
        <w:shd w:fill="1A1A2E" w:val="clear"/>
      </w:pPr>
      <w:r>
        <w:rPr>
          <w:rFonts w:ascii="Courier New" w:cs="Courier New" w:eastAsia="Courier New" w:hAnsi="Courier New"/>
          <w:color w:val="00FF00"/>
          <w:sz w:val="16"/>
          <w:szCs w:val="16"/>
        </w:rPr>
        <w:t xml:space="preserve">  │   192.168.10.0/24         │         │   192.168.20.0/24          │</w:t>
      </w:r>
    </w:p>
    <w:p>
      <w:pPr>
        <w:shd w:fill="1A1A2E" w:val="clear"/>
      </w:pPr>
      <w:r>
        <w:rPr>
          <w:rFonts w:ascii="Courier New" w:cs="Courier New" w:eastAsia="Courier New" w:hAnsi="Courier New"/>
          <w:color w:val="00FF00"/>
          <w:sz w:val="16"/>
          <w:szCs w:val="16"/>
        </w:rPr>
        <w:t xml:space="preserve">  │  ┌─────────────────────┐  │         │  ┌──────────────────────┐  │</w:t>
      </w:r>
    </w:p>
    <w:p>
      <w:pPr>
        <w:shd w:fill="1A1A2E" w:val="clear"/>
      </w:pPr>
      <w:r>
        <w:rPr>
          <w:rFonts w:ascii="Courier New" w:cs="Courier New" w:eastAsia="Courier New" w:hAnsi="Courier New"/>
          <w:color w:val="00FF00"/>
          <w:sz w:val="16"/>
          <w:szCs w:val="16"/>
        </w:rPr>
        <w:t xml:space="preserve">  │  │ pfSense Firewall    │  │◄───────►│  │ pfSense Replica      │  │</w:t>
      </w:r>
    </w:p>
    <w:p>
      <w:pPr>
        <w:shd w:fill="1A1A2E" w:val="clear"/>
      </w:pPr>
      <w:r>
        <w:rPr>
          <w:rFonts w:ascii="Courier New" w:cs="Courier New" w:eastAsia="Courier New" w:hAnsi="Courier New"/>
          <w:color w:val="00FF00"/>
          <w:sz w:val="16"/>
          <w:szCs w:val="16"/>
        </w:rPr>
        <w:t xml:space="preserve">  │  │ 192.168.10.1       │  │  VLAN   │  │ 192.168.20.1        │  │</w:t>
      </w:r>
    </w:p>
    <w:p>
      <w:pPr>
        <w:shd w:fill="1A1A2E" w:val="clear"/>
      </w:pPr>
      <w:r>
        <w:rPr>
          <w:rFonts w:ascii="Courier New" w:cs="Courier New" w:eastAsia="Courier New" w:hAnsi="Courier New"/>
          <w:color w:val="00FF00"/>
          <w:sz w:val="16"/>
          <w:szCs w:val="16"/>
        </w:rPr>
        <w:t xml:space="preserve">  │  └────────┬────────────┘  │  Trunk  │  └───────┬──────────────┘  │</w:t>
      </w:r>
    </w:p>
    <w:p>
      <w:pPr>
        <w:shd w:fill="1A1A2E" w:val="clear"/>
      </w:pPr>
      <w:r>
        <w:rPr>
          <w:rFonts w:ascii="Courier New" w:cs="Courier New" w:eastAsia="Courier New" w:hAnsi="Courier New"/>
          <w:color w:val="00FF00"/>
          <w:sz w:val="16"/>
          <w:szCs w:val="16"/>
        </w:rPr>
        <w:t xml:space="preserve">  │           │ VLANs         │         │          │ VLANs           │</w:t>
      </w:r>
    </w:p>
    <w:p>
      <w:pPr>
        <w:shd w:fill="1A1A2E" w:val="clear"/>
      </w:pPr>
      <w:r>
        <w:rPr>
          <w:rFonts w:ascii="Courier New" w:cs="Courier New" w:eastAsia="Courier New" w:hAnsi="Courier New"/>
          <w:color w:val="00FF00"/>
          <w:sz w:val="16"/>
          <w:szCs w:val="16"/>
        </w:rPr>
        <w:t xml:space="preserve">  │  ┌────────▼────────────┐  │         │  ┌───────▼──────────────┐  │</w:t>
      </w:r>
    </w:p>
    <w:p>
      <w:pPr>
        <w:shd w:fill="1A1A2E" w:val="clear"/>
      </w:pPr>
      <w:r>
        <w:rPr>
          <w:rFonts w:ascii="Courier New" w:cs="Courier New" w:eastAsia="Courier New" w:hAnsi="Courier New"/>
          <w:color w:val="00FF00"/>
          <w:sz w:val="16"/>
          <w:szCs w:val="16"/>
        </w:rPr>
        <w:t xml:space="preserve">  │  │ VLAN 10 — Serveurs  │  │         │  │ VLAN 20 — Serveurs   │  │</w:t>
      </w:r>
    </w:p>
    <w:p>
      <w:pPr>
        <w:shd w:fill="1A1A2E" w:val="clear"/>
      </w:pPr>
      <w:r>
        <w:rPr>
          <w:rFonts w:ascii="Courier New" w:cs="Courier New" w:eastAsia="Courier New" w:hAnsi="Courier New"/>
          <w:color w:val="00FF00"/>
          <w:sz w:val="16"/>
          <w:szCs w:val="16"/>
        </w:rPr>
        <w:t xml:space="preserve">  │  │ Proxmox + VMs       │  │         │  │ DC Réplique + SMB    │  │</w:t>
      </w:r>
    </w:p>
    <w:p>
      <w:pPr>
        <w:shd w:fill="1A1A2E" w:val="clear"/>
      </w:pPr>
      <w:r>
        <w:rPr>
          <w:rFonts w:ascii="Courier New" w:cs="Courier New" w:eastAsia="Courier New" w:hAnsi="Courier New"/>
          <w:color w:val="00FF00"/>
          <w:sz w:val="16"/>
          <w:szCs w:val="16"/>
        </w:rPr>
        <w:t xml:space="preserve">  │  │ 172.16.10.0/24      │  │         │  │ 172.16.20.0/24       │  │</w:t>
      </w:r>
    </w:p>
    <w:p>
      <w:pPr>
        <w:shd w:fill="1A1A2E" w:val="clear"/>
      </w:pPr>
      <w:r>
        <w:rPr>
          <w:rFonts w:ascii="Courier New" w:cs="Courier New" w:eastAsia="Courier New" w:hAnsi="Courier New"/>
          <w:color w:val="00FF00"/>
          <w:sz w:val="16"/>
          <w:szCs w:val="16"/>
        </w:rPr>
        <w:t xml:space="preserve">  │  └─────────────────────┘  │         │  └──────────────────────┘  │</w:t>
      </w:r>
    </w:p>
    <w:p>
      <w:pPr>
        <w:shd w:fill="1A1A2E" w:val="clear"/>
      </w:pPr>
      <w:r>
        <w:rPr>
          <w:rFonts w:ascii="Courier New" w:cs="Courier New" w:eastAsia="Courier New" w:hAnsi="Courier New"/>
          <w:color w:val="00FF00"/>
          <w:sz w:val="16"/>
          <w:szCs w:val="16"/>
        </w:rPr>
        <w:t xml:space="preserve">  │  VLAN 30 — Postes (DHCP)  │         │  VLAN 50 — Postes (DHCP)   │</w:t>
      </w:r>
    </w:p>
    <w:p>
      <w:pPr>
        <w:shd w:fill="1A1A2E" w:val="clear"/>
      </w:pPr>
      <w:r>
        <w:rPr>
          <w:rFonts w:ascii="Courier New" w:cs="Courier New" w:eastAsia="Courier New" w:hAnsi="Courier New"/>
          <w:color w:val="00FF00"/>
          <w:sz w:val="16"/>
          <w:szCs w:val="16"/>
        </w:rPr>
        <w:t xml:space="preserve">  │  VLAN 40 — Imprimantes    │         │  VLAN 60 — Imprimantes     │</w:t>
      </w:r>
    </w:p>
    <w:p>
      <w:pPr>
        <w:shd w:fill="1A1A2E" w:val="clear"/>
      </w:pPr>
      <w:r>
        <w:rPr>
          <w:rFonts w:ascii="Courier New" w:cs="Courier New" w:eastAsia="Courier New" w:hAnsi="Courier New"/>
          <w:color w:val="00FF00"/>
          <w:sz w:val="16"/>
          <w:szCs w:val="16"/>
        </w:rPr>
        <w:t xml:space="preserve">  │  VLAN 999 — Quarantaine   │         │                            │</w:t>
      </w:r>
    </w:p>
    <w:p>
      <w:pPr>
        <w:shd w:fill="1A1A2E" w:val="clear"/>
      </w:pPr>
      <w:r>
        <w:rPr>
          <w:rFonts w:ascii="Courier New" w:cs="Courier New" w:eastAsia="Courier New" w:hAnsi="Courier New"/>
          <w:color w:val="00FF00"/>
          <w:sz w:val="16"/>
          <w:szCs w:val="16"/>
        </w:rPr>
        <w:t xml:space="preserve">  └───────────────────────────┘         └────────────────────────────┘</w:t>
      </w:r>
    </w:p>
    <w:p>
      <w:pPr>
        <w:shd w:fill="1A1A2E" w:val="clear"/>
      </w:pPr>
      <w:r>
        <w:rPr>
          <w:rFonts w:ascii="Courier New" w:cs="Courier New" w:eastAsia="Courier New" w:hAnsi="Courier New"/>
          <w:color w:val="00FF00"/>
          <w:sz w:val="16"/>
          <w:szCs w:val="16"/>
        </w:rPr>
        <w:t xml:space="preserve">                                               ▲</w:t>
      </w:r>
    </w:p>
    <w:p>
      <w:pPr>
        <w:shd w:fill="1A1A2E" w:val="clear"/>
      </w:pPr>
      <w:r>
        <w:rPr>
          <w:rFonts w:ascii="Courier New" w:cs="Courier New" w:eastAsia="Courier New" w:hAnsi="Courier New"/>
          <w:color w:val="00FF00"/>
          <w:sz w:val="16"/>
          <w:szCs w:val="16"/>
        </w:rPr>
        <w:t xml:space="preserve">                              VPN OpenVPN / WireGuard</w:t>
      </w:r>
    </w:p>
    <w:p>
      <w:pPr>
        <w:shd w:fill="1A1A2E" w:val="clear"/>
      </w:pPr>
      <w:r>
        <w:rPr>
          <w:rFonts w:ascii="Courier New" w:cs="Courier New" w:eastAsia="Courier New" w:hAnsi="Courier New"/>
          <w:color w:val="00FF00"/>
          <w:sz w:val="16"/>
          <w:szCs w:val="16"/>
        </w:rPr>
        <w:t xml:space="preserve">                                               │</w:t>
      </w:r>
    </w:p>
    <w:p>
      <w:pPr>
        <w:shd w:fill="1A1A2E" w:val="clear"/>
      </w:pPr>
      <w:r>
        <w:rPr>
          <w:rFonts w:ascii="Courier New" w:cs="Courier New" w:eastAsia="Courier New" w:hAnsi="Courier New"/>
          <w:color w:val="00FF00"/>
          <w:sz w:val="16"/>
          <w:szCs w:val="16"/>
        </w:rPr>
        <w:t xml:space="preserve">                          ┌────────────────────▼────────────────────┐</w:t>
      </w:r>
    </w:p>
    <w:p>
      <w:pPr>
        <w:shd w:fill="1A1A2E" w:val="clear"/>
      </w:pPr>
      <w:r>
        <w:rPr>
          <w:rFonts w:ascii="Courier New" w:cs="Courier New" w:eastAsia="Courier New" w:hAnsi="Courier New"/>
          <w:color w:val="00FF00"/>
          <w:sz w:val="16"/>
          <w:szCs w:val="16"/>
        </w:rPr>
        <w:t xml:space="preserve">                          │       NOMADES (20 commerciaux)          │</w:t>
      </w:r>
    </w:p>
    <w:p>
      <w:pPr>
        <w:shd w:fill="1A1A2E" w:val="clear"/>
      </w:pPr>
      <w:r>
        <w:rPr>
          <w:rFonts w:ascii="Courier New" w:cs="Courier New" w:eastAsia="Courier New" w:hAnsi="Courier New"/>
          <w:color w:val="00FF00"/>
          <w:sz w:val="16"/>
          <w:szCs w:val="16"/>
        </w:rPr>
        <w:t xml:space="preserve">                          │       Adresses dynamiques / 4G/5G       │</w:t>
      </w:r>
    </w:p>
    <w:p>
      <w:pPr>
        <w:shd w:fill="1A1A2E" w:val="clear"/>
      </w:pPr>
      <w:r>
        <w:rPr>
          <w:rFonts w:ascii="Courier New" w:cs="Courier New" w:eastAsia="Courier New" w:hAnsi="Courier New"/>
          <w:color w:val="00FF00"/>
          <w:sz w:val="16"/>
          <w:szCs w:val="16"/>
        </w:rPr>
        <w:t xml:space="preserve">                          │       MFA obligatoire — &lt; 80 ms latence │</w:t>
      </w:r>
    </w:p>
    <w:p>
      <w:pPr>
        <w:shd w:fill="1A1A2E" w:val="clear"/>
      </w:pPr>
      <w:r>
        <w:rPr>
          <w:rFonts w:ascii="Courier New" w:cs="Courier New" w:eastAsia="Courier New" w:hAnsi="Courier New"/>
          <w:color w:val="00FF00"/>
          <w:sz w:val="16"/>
          <w:szCs w:val="16"/>
        </w:rPr>
        <w:t xml:space="preserve">                          └─────────────────────────────────────────┘</w:t>
      </w:r>
    </w:p>
    <w:p>
      <w:pPr>
        <w:shd w:fill="1A1A2E" w:val="clear"/>
        <w:spacing w:after="120" w:before="0"/>
      </w:pPr>
      <w:r>
        <w:rPr>
          <w:rFonts w:ascii="Courier New" w:cs="Courier New" w:eastAsia="Courier New" w:hAnsi="Courier New"/>
          <w:sz w:val="16"/>
          <w:szCs w:val="16"/>
        </w:rPr>
        <w:t xml:space="preserve"/>
      </w:r>
    </w:p>
    <w:p>
      <w:pPr>
        <w:spacing w:after="60" w:before="60"/>
      </w:pPr>
      <w:r>
        <w:t xml:space="preserve"/>
      </w:r>
    </w:p>
    <w:p>
      <w:pPr>
        <w:pStyle w:val="Heading2"/>
        <w:spacing w:after="140" w:before="280"/>
      </w:pPr>
      <w:r>
        <w:rPr>
          <w:rFonts w:ascii="Arial" w:cs="Arial" w:eastAsia="Arial" w:hAnsi="Arial"/>
          <w:b/>
          <w:bCs/>
          <w:color w:val="1F3864"/>
        </w:rPr>
        <w:t xml:space="preserve">3.3 Plan d'Adressage Réseau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200"/>
        <w:gridCol w:w="36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VLAN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Réseau</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Plage IP</w:t>
            </w:r>
          </w:p>
        </w:tc>
        <w:tc>
          <w:tcPr>
            <w:tcW w:type="dxa" w:w="3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Usage</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VLAN 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172.16.10.0/24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172.16.10.1–254</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Serveurs Lyon (Proxmox, VMs)</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VLAN 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172.16.20.0/24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172.16.20.1–254</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Serveurs Marseille (DC réplique, SMB)</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VLAN 30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192.168.10.0/24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192.168.10.100–200</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Postes utilisateurs Lyon (DHCP)</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VLAN 40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192.168.11.0/24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192.168.11.50–100</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Imprimantes / IoT Lyon</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VLAN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192.168.20.0/24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192.168.20.100–200</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Postes utilisateurs Marseille (DHCP)</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VLAN 60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192.168.21.0/24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192.168.21.50–100</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Imprimantes / IoT Marseille</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VLAN 999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10.99.0.0/24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10.99.0.1–254</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Quarantaine — machines compromises (isolé)</w:t>
            </w:r>
          </w:p>
        </w:tc>
      </w:tr>
      <w:tr>
        <w:trPr>
          <w:tblHeader w:val="false"/>
        </w:trP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VPN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10.10.0.0/24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10.10.0.100–150</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Tunnel nomades (adresses attribuées dynamiquement)</w:t>
            </w:r>
          </w:p>
        </w:tc>
      </w:tr>
    </w:tbl>
    <w:p>
      <w:r>
        <w:br w:type="page"/>
      </w:r>
    </w:p>
    <w:p>
      <w:pPr>
        <w:pStyle w:val="Heading1"/>
        <w:spacing w:after="140" w:before="280"/>
      </w:pPr>
      <w:r>
        <w:rPr>
          <w:rFonts w:ascii="Arial" w:cs="Arial" w:eastAsia="Arial" w:hAnsi="Arial"/>
          <w:b/>
          <w:bCs/>
          <w:color w:val="1F3864"/>
        </w:rPr>
        <w:t xml:space="preserve">Section 4 — Performances Attendues &amp; SLA</w:t>
      </w:r>
    </w:p>
    <w:p>
      <w:pPr>
        <w:pStyle w:val="Heading2"/>
        <w:spacing w:after="140" w:before="280"/>
      </w:pPr>
      <w:r>
        <w:rPr>
          <w:rFonts w:ascii="Arial" w:cs="Arial" w:eastAsia="Arial" w:hAnsi="Arial"/>
          <w:b/>
          <w:bCs/>
          <w:color w:val="1F3864"/>
        </w:rPr>
        <w:t xml:space="preserve">4.1 Métriques SLA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Service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Disponibilité cible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RTO</w:t>
            </w:r>
          </w:p>
        </w:tc>
        <w:tc>
          <w:tcPr>
            <w:tcW w:type="dxa" w:w="2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RPO</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Active Directory / DNS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99,99 % (&lt; 53 min/an)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30 min</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0 (réplication)</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Partages fichiers SMB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99,9 % (&lt; 8,7 h/an)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 h</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15 min</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SQL CRM (MariaDB)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99,9 % (&lt; 8,7 h/an)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2 h</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15 min</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VPN Nomades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99,5 % (&lt; 43,8 h/an)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4 h</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N/A</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Email (Exchange/Postfix)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99,5 % (&lt; 43,8 h/an)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4 h</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 h</w:t>
            </w:r>
          </w:p>
        </w:tc>
      </w:tr>
    </w:tbl>
    <w:p>
      <w:pPr>
        <w:spacing w:after="60" w:before="60"/>
      </w:pPr>
      <w:r>
        <w:t xml:space="preserve"/>
      </w:r>
    </w:p>
    <w:p>
      <w:pPr>
        <w:pStyle w:val="Heading2"/>
        <w:spacing w:after="140" w:before="280"/>
      </w:pPr>
      <w:r>
        <w:rPr>
          <w:rFonts w:ascii="Arial" w:cs="Arial" w:eastAsia="Arial" w:hAnsi="Arial"/>
          <w:b/>
          <w:bCs/>
          <w:color w:val="1F3864"/>
        </w:rPr>
        <w:t xml:space="preserve">4.2 Latences Cibles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600"/>
        <w:gridCol w:w="24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Flux</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Latence cible</w:t>
            </w:r>
          </w:p>
        </w:tc>
        <w:tc>
          <w:tcPr>
            <w:tcW w:type="dxa" w:w="2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Protocole</w:t>
            </w:r>
          </w:p>
        </w:tc>
      </w:tr>
      <w:tr>
        <w:trPr>
          <w:tblHeader w:val="false"/>
        </w:trP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VPN Lyon → Nomade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80 ms</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OpenVPN / WireGuard</w:t>
            </w:r>
          </w:p>
        </w:tc>
      </w:tr>
      <w:tr>
        <w:trPr>
          <w:tblHeader w:val="false"/>
        </w:trP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Réplication SQL Lyon ↔ Marseille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50 ms</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MariaDB Replication</w:t>
            </w:r>
          </w:p>
        </w:tc>
      </w:tr>
      <w:tr>
        <w:trPr>
          <w:tblHeader w:val="false"/>
        </w:trP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Résolution DNS (AD)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10 ms</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DNS/Kerberos</w:t>
            </w:r>
          </w:p>
        </w:tc>
      </w:tr>
      <w:tr>
        <w:trPr>
          <w:tblHeader w:val="false"/>
        </w:trP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Partage SMB local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5 ms</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SMB3</w:t>
            </w:r>
          </w:p>
        </w:tc>
      </w:tr>
      <w:tr>
        <w:trPr>
          <w:tblHeader w:val="false"/>
        </w:trP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Partage SMB inter-sites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&lt; 50 ms</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SMB3 over MPLS</w:t>
            </w:r>
          </w:p>
        </w:tc>
      </w:tr>
    </w:tbl>
    <w:p>
      <w:r>
        <w:br w:type="page"/>
      </w:r>
    </w:p>
    <w:p>
      <w:pPr>
        <w:pStyle w:val="Heading1"/>
        <w:spacing w:after="140" w:before="280"/>
      </w:pPr>
      <w:r>
        <w:rPr>
          <w:rFonts w:ascii="Arial" w:cs="Arial" w:eastAsia="Arial" w:hAnsi="Arial"/>
          <w:b/>
          <w:bCs/>
          <w:color w:val="1F3864"/>
        </w:rPr>
        <w:t xml:space="preserve">Section 5 — Fiabilité &amp; Continuité de Service</w:t>
      </w:r>
    </w:p>
    <w:p>
      <w:pPr>
        <w:pStyle w:val="Heading2"/>
        <w:spacing w:after="140" w:before="280"/>
      </w:pPr>
      <w:r>
        <w:rPr>
          <w:rFonts w:ascii="Arial" w:cs="Arial" w:eastAsia="Arial" w:hAnsi="Arial"/>
          <w:b/>
          <w:bCs/>
          <w:color w:val="1F3864"/>
        </w:rPr>
        <w:t xml:space="preserve">5.1 Stratégie de Sauvegarde 3-2-1-1-0</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Règle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Exigence</w:t>
            </w:r>
          </w:p>
        </w:tc>
        <w:tc>
          <w:tcPr>
            <w:tcW w:type="dxa" w:w="5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Implémentation Nova Syndicate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3 copies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Minimum 3 copies des données</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Originale (RAID-6) + NAS Lyon + Backup Marseille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2 supports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Sur 2 types de médias différents</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Disques RAID + Cloud S3 Wasabi</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1 hors-site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 copie hors site principal</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Site Marseille + Bucket S3 Wasabi (région EU)</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1 immuable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1 copie en lecture seule (WORM)</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S3 Bucket Compliance Mode — 30 jours rétention minimale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0 erreur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0 erreur de restauration non détectée</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Test mensuel de restauration sur VM dédiée + checksum SHA256</w:t>
            </w:r>
          </w:p>
        </w:tc>
      </w:tr>
    </w:tbl>
    <w:p>
      <w:pPr>
        <w:spacing w:after="60" w:before="60"/>
      </w:pPr>
      <w:r>
        <w:t xml:space="preserve"/>
      </w:r>
    </w:p>
    <w:p>
      <w:pPr>
        <w:pStyle w:val="Heading2"/>
        <w:spacing w:after="140" w:before="280"/>
      </w:pPr>
      <w:r>
        <w:rPr>
          <w:rFonts w:ascii="Arial" w:cs="Arial" w:eastAsia="Arial" w:hAnsi="Arial"/>
          <w:b/>
          <w:bCs/>
          <w:color w:val="1F3864"/>
        </w:rPr>
        <w:t xml:space="preserve">5.2 Matrice des Risques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34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Risque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Probabilité</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Mitigation</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Panne serveur principal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27AE60"/>
                <w:sz w:val="20"/>
                <w:szCs w:val="20"/>
              </w:rPr>
              <w:t xml:space="preserve">Faible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C0392B"/>
                <w:sz w:val="20"/>
                <w:szCs w:val="20"/>
              </w:rPr>
              <w:t xml:space="preserve">Critique</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Cluster Proxmox HA + DC réplique Marseille</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Ransomware / chiffrement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E67E22"/>
                <w:sz w:val="20"/>
                <w:szCs w:val="20"/>
              </w:rPr>
              <w:t xml:space="preserve">Moyenne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C0392B"/>
                <w:sz w:val="20"/>
                <w:szCs w:val="20"/>
              </w:rPr>
              <w:t xml:space="preserve">Critique</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S3 WORM immuable + VLAN quarantaine + Wazuh EDR</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Coupure liaison WAN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27AE60"/>
                <w:sz w:val="20"/>
                <w:szCs w:val="20"/>
              </w:rPr>
              <w:t xml:space="preserve">Faible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E67E22"/>
                <w:sz w:val="20"/>
                <w:szCs w:val="20"/>
              </w:rPr>
              <w:t xml:space="preserve">Élevé</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MPLS + VPN IPSec backup + réplication async</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Fuite de données RH/CRM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27AE60"/>
                <w:sz w:val="20"/>
                <w:szCs w:val="20"/>
              </w:rPr>
              <w:t xml:space="preserve">Faible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C0392B"/>
                <w:sz w:val="20"/>
                <w:szCs w:val="20"/>
              </w:rPr>
              <w:t xml:space="preserve">Critique</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Chiffrement LUKS2 + TLS 1.3 + RBAC + logs Wazuh</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Compromission compte admin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E67E22"/>
                <w:sz w:val="20"/>
                <w:szCs w:val="20"/>
              </w:rPr>
              <w:t xml:space="preserve">Moyenne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C0392B"/>
                <w:sz w:val="20"/>
                <w:szCs w:val="20"/>
              </w:rPr>
              <w:t xml:space="preserve">Critique</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MFA + PAM + audit logs + moindre privilège</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Incendie / sinistre Lyon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27AE60"/>
                <w:sz w:val="20"/>
                <w:szCs w:val="20"/>
              </w:rPr>
              <w:t xml:space="preserve">Très faible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C0392B"/>
                <w:sz w:val="20"/>
                <w:szCs w:val="20"/>
              </w:rPr>
              <w:t xml:space="preserve">Critique</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PRA site Marseille + cloud S3 — RTO &lt; 4 h</w:t>
            </w:r>
          </w:p>
        </w:tc>
      </w:tr>
    </w:tbl>
    <w:p>
      <w:r>
        <w:br w:type="page"/>
      </w:r>
    </w:p>
    <w:p>
      <w:pPr>
        <w:pStyle w:val="Heading1"/>
        <w:spacing w:after="140" w:before="280"/>
      </w:pPr>
      <w:r>
        <w:rPr>
          <w:rFonts w:ascii="Arial" w:cs="Arial" w:eastAsia="Arial" w:hAnsi="Arial"/>
          <w:b/>
          <w:bCs/>
          <w:color w:val="1F3864"/>
        </w:rPr>
        <w:t xml:space="preserve">Section 6 — Application des Règles de Cybersécurité (Phase I)</w:t>
      </w:r>
    </w:p>
    <w:p>
      <w:pPr>
        <w:spacing w:after="80" w:before="80"/>
      </w:pPr>
      <w:r>
        <w:rPr>
          <w:rFonts w:ascii="Arial" w:cs="Arial" w:eastAsia="Arial" w:hAnsi="Arial"/>
          <w:sz w:val="22"/>
          <w:szCs w:val="22"/>
        </w:rPr>
        <w:t xml:space="preserve">Cette section détaille comment les exigences de cybersécurité ont été intégrées dès la phase d'analyse, conformément aux référentiels ANSSI, ISO 27001:2022 et RGPD.</w:t>
      </w:r>
    </w:p>
    <w:p>
      <w:pPr>
        <w:spacing w:after="60" w:before="60"/>
      </w:pPr>
      <w:r>
        <w:t xml:space="preserve"/>
      </w:r>
    </w:p>
    <w:p>
      <w:pPr>
        <w:pStyle w:val="Heading2"/>
        <w:spacing w:after="140" w:before="280"/>
      </w:pPr>
      <w:r>
        <w:rPr>
          <w:rFonts w:ascii="Arial" w:cs="Arial" w:eastAsia="Arial" w:hAnsi="Arial"/>
          <w:b/>
          <w:bCs/>
          <w:color w:val="1F3864"/>
        </w:rPr>
        <w:t xml:space="preserve">6.1 Conformité ANSSI — Recommandations Applicables en Phase 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26"/>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Réf. ANSSI</w:t>
            </w:r>
          </w:p>
        </w:tc>
        <w:tc>
          <w:tcPr>
            <w:tcW w:type="dxa" w:w="3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Recommandation</w:t>
            </w:r>
          </w:p>
        </w:tc>
        <w:tc>
          <w:tcPr>
            <w:tcW w:type="dxa" w:w="4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Application dans l'architecture Nova Syndicate</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R06</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Cloisonnement des réseaux</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8 VLANs distincts dont VLAN 999 quarantaine. pfSense deny-by-default.</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R15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Gestion des accès privilégiés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Comptes admin dédiés, séparation admin IT / données métier, PAM prévu.</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R20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Authentification forte</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MFA obligatoire pour tous les accès distants et comptes privilégiés.</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R32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Sauvegarde et restauration</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Règle 3-2-1-1-0 avec stockage WORM S3 Wasabi, test mensuel.</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R38</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Surveillance et journalisation</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Wazuh SIEM planifié Phase III, auditabilité complète dès la conception.</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R43</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Chiffrement des données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LUKS2 au repos, TLS 1.3 en transit, SMB3 signé obligatoire.</w:t>
            </w:r>
          </w:p>
        </w:tc>
      </w:tr>
    </w:tbl>
    <w:p>
      <w:pPr>
        <w:spacing w:after="60" w:before="60"/>
      </w:pPr>
      <w:r>
        <w:t xml:space="preserve"/>
      </w:r>
    </w:p>
    <w:p>
      <w:pPr>
        <w:pStyle w:val="Heading2"/>
        <w:spacing w:after="140" w:before="280"/>
      </w:pPr>
      <w:r>
        <w:rPr>
          <w:rFonts w:ascii="Arial" w:cs="Arial" w:eastAsia="Arial" w:hAnsi="Arial"/>
          <w:b/>
          <w:bCs/>
          <w:color w:val="1F3864"/>
        </w:rPr>
        <w:t xml:space="preserve">6.2 Conformité ISO 27001:2022 — Contrôles Applicables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26"/>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Contrôle ISO</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Domaine</w:t>
            </w:r>
          </w:p>
        </w:tc>
        <w:tc>
          <w:tcPr>
            <w:tcW w:type="dxa" w:w="4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Implémentation</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A.5.15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Contrôle d'accès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RBAC via AD groupes, principe du moindre privilège (PoLP) — défaut : aucun accès.</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A.8.7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Protection contre les maliciels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Antivirus endpoint sur toutes les VMs, Wazuh EDR, VLAN quarantaine.</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A.8.12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Prévention fuite de données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Chiffrement LUKS2, TLS 1.3, logs d'accès aux fichiers sensibles.</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A.8.13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Sauvegarde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Politique 3-2-1-1-0 documentée, RTO/RPO définis par service.</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A.8.20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Sécurité des réseaux</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Segmentation VLAN, pfSense stateful, IDS Suricata en Phase III.</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A.8.24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Cryptographie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Politique de chiffrement définie : AES-256 au repos, TLS 1.3 en transit.</w:t>
            </w:r>
          </w:p>
        </w:tc>
      </w:tr>
    </w:tbl>
    <w:p>
      <w:pPr>
        <w:spacing w:after="60" w:before="60"/>
      </w:pPr>
      <w:r>
        <w:t xml:space="preserve"/>
      </w:r>
    </w:p>
    <w:p>
      <w:pPr>
        <w:pStyle w:val="Heading2"/>
        <w:spacing w:after="140" w:before="280"/>
      </w:pPr>
      <w:r>
        <w:rPr>
          <w:rFonts w:ascii="Arial" w:cs="Arial" w:eastAsia="Arial" w:hAnsi="Arial"/>
          <w:b/>
          <w:bCs/>
          <w:color w:val="1F3864"/>
        </w:rPr>
        <w:t xml:space="preserve">6.3 Conformité RGPD — Mesures Techniques en Phase I</w:t>
      </w:r>
    </w:p>
    <w:p>
      <w:pPr>
        <w:spacing w:after="80" w:before="80"/>
      </w:pPr>
      <w:r>
        <w:rPr>
          <w:rFonts w:ascii="Arial" w:cs="Arial" w:eastAsia="Arial" w:hAnsi="Arial"/>
          <w:sz w:val="22"/>
          <w:szCs w:val="22"/>
        </w:rPr>
        <w:t xml:space="preserve">Le RGPD impose la mise en place de mesures techniques et organisationnelles appropriées (Article 32) dès la conception (Privacy by Design — Article 25). Les décisions architecturales suivantes répondent directement à ces exigences :</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Article RGPD</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Exigence</w:t>
            </w:r>
          </w:p>
        </w:tc>
        <w:tc>
          <w:tcPr>
            <w:tcW w:type="dxa" w:w="4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Mesure technique adoptée</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Art. 25 — Privacy by Design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Protection dès la conception</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Architecture cloisonnée, chiffrement par défaut, accès minimal dès Phase I.</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Art. 32 — Sécurité du traitement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Mesures techniques appropriées</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LUKS2 + TLS 1.3 + RBAC + MFA + sauvegardes chiffrées.</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Art. 33 — Notification violation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72h pour notifier la CNIL</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Procédure automatisée incident_report.py — timeline forensique + chaîne de custody.</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Art. 17 — Droit à l'effacement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Suppression données sur demande</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Procédure TRIM LUKS2, suppression AD, politique de rétention définie.</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Art. 5 — Localisation des données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Données en France/UE</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S3 Wasabi région EU-West, serveurs physiques en France.</w:t>
            </w:r>
          </w:p>
        </w:tc>
      </w:tr>
    </w:tbl>
    <w:p>
      <w:pPr>
        <w:spacing w:after="60" w:before="60"/>
      </w:pPr>
      <w:r>
        <w:t xml:space="preserve"/>
      </w:r>
    </w:p>
    <w:p>
      <w:pPr>
        <w:pStyle w:val="Heading2"/>
        <w:spacing w:after="140" w:before="280"/>
      </w:pPr>
      <w:r>
        <w:rPr>
          <w:rFonts w:ascii="Arial" w:cs="Arial" w:eastAsia="Arial" w:hAnsi="Arial"/>
          <w:b/>
          <w:bCs/>
          <w:color w:val="1F3864"/>
        </w:rPr>
        <w:t xml:space="preserve">6.4 Principe de Défense en Profondeur — Architecture Phase I</w:t>
      </w:r>
    </w:p>
    <w:p>
      <w:pPr>
        <w:spacing w:after="80" w:before="80"/>
      </w:pPr>
      <w:r>
        <w:rPr>
          <w:rFonts w:ascii="Arial" w:cs="Arial" w:eastAsia="Arial" w:hAnsi="Arial"/>
          <w:sz w:val="22"/>
          <w:szCs w:val="22"/>
        </w:rPr>
        <w:t xml:space="preserve">L'architecture Nova Syndicate applique le modèle de défense en profondeur (Defense in Depth) avec 5 couches de sécurité distinctes :</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4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Couche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Niveau</w:t>
            </w:r>
          </w:p>
        </w:tc>
        <w:tc>
          <w:tcPr>
            <w:tcW w:type="dxa" w:w="5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Contrôles implémentés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Périmètre réseau</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pfSense Firewall deny-by-default, IPS Suricata, VPN IPSec/OpenVPN</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Segmentation interne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8 VLANs isolés, ACL inter-VLAN restrictives, VLAN 999 quarantaine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Authentification</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Samba4 AD + Kerberos + MFA (TOTP) + comptes à durée limitée pour stagiaires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Autorisation</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RBAC granulaire, PoLP — défaut = aucun accès, audit trimestriel des droits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Données</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LUKS2 au repos, TLS 1.3 en transit, SMB3 signé, sauvegardes chiffrées WORM</w:t>
            </w:r>
          </w:p>
        </w:tc>
      </w:tr>
    </w:tbl>
    <w:p>
      <w:r>
        <w:br w:type="page"/>
      </w:r>
    </w:p>
    <w:p>
      <w:pPr>
        <w:pStyle w:val="Heading1"/>
        <w:spacing w:after="140" w:before="280"/>
      </w:pPr>
      <w:r>
        <w:rPr>
          <w:rFonts w:ascii="Arial" w:cs="Arial" w:eastAsia="Arial" w:hAnsi="Arial"/>
          <w:b/>
          <w:bCs/>
          <w:color w:val="1F3864"/>
        </w:rPr>
        <w:t xml:space="preserve">Section 7 — Couverture REAC AIS (10 Compétences)</w:t>
      </w:r>
    </w:p>
    <w:p>
      <w:pPr>
        <w:spacing w:after="80" w:before="80"/>
      </w:pPr>
      <w:r>
        <w:rPr>
          <w:rFonts w:ascii="Arial" w:cs="Arial" w:eastAsia="Arial" w:hAnsi="Arial"/>
          <w:sz w:val="22"/>
          <w:szCs w:val="22"/>
        </w:rPr>
        <w:t xml:space="preserve">Le référentiel REAC AIS évalue 10 compétences-clés. L'architecture Nova Syndicate Phase I couvre intégralement les compétences suivantes :</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3200"/>
        <w:gridCol w:w="1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CP</w:t>
            </w:r>
          </w:p>
        </w:tc>
        <w:tc>
          <w:tcPr>
            <w:tcW w:type="dxa" w:w="3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Compétence</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Réponse Architecture</w:t>
            </w:r>
          </w:p>
        </w:tc>
        <w:tc>
          <w:tcPr>
            <w:tcW w:type="dxa" w:w="1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Couverture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Conception infrastructure réseau</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Architecture multi-sites VLAN, pfSense, MPLS</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Virtualisation et haute disponibilité</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Proxmox VE Cluster, live migration, snapshots</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CP3</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Gestion des accès et identités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Samba4 AD, RBAC, GPO, MFA, PoLP</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CP4</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Sécurisation des communications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VPN, TLS 1.3, SMB3 signé, chiffrement LUKS2</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Monitoring et supervision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Wazuh + Prometheus/Grafana (Phase III)</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E67E22"/>
                <w:sz w:val="20"/>
                <w:szCs w:val="20"/>
              </w:rPr>
              <w:t xml:space="preserve">✓ Partielle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CP6</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Continuité et sauvegarde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Règle 3-2-1-1-0, PCA/PRA, RTO/RPO définis</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CP7</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Gestion des incidents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incident_report.py, chaîne de custody, GLPI</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CP8</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Conformité réglementaire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ANSSI + ISO 27001 + RGPD — couverture démontrée</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CP9</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Documentation technique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Dossier complet Phase I/II/III + topologie GNS3</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r>
        <w:trPr>
          <w:tblHeader w:val="false"/>
        </w:trP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CP10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Analyse des risques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Matrice risques + stratégie mitigation documentée</w:t>
            </w:r>
          </w:p>
        </w:tc>
        <w:tc>
          <w:tcPr>
            <w:tcW w:type="dxa" w:w="1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Complète</w:t>
            </w:r>
          </w:p>
        </w:tc>
      </w:tr>
    </w:tbl>
    <w:p>
      <w:r>
        <w:br w:type="page"/>
      </w:r>
    </w:p>
    <w:p>
      <w:pPr>
        <w:pStyle w:val="Heading1"/>
        <w:spacing w:after="140" w:before="280"/>
      </w:pPr>
      <w:r>
        <w:rPr>
          <w:rFonts w:ascii="Arial" w:cs="Arial" w:eastAsia="Arial" w:hAnsi="Arial"/>
          <w:b/>
          <w:bCs/>
          <w:color w:val="1F3864"/>
        </w:rPr>
        <w:t xml:space="preserve">Conclusion — Phase I</w:t>
      </w:r>
    </w:p>
    <w:p>
      <w:pPr>
        <w:spacing w:after="80" w:before="80"/>
      </w:pPr>
      <w:r>
        <w:rPr>
          <w:rFonts w:ascii="Arial" w:cs="Arial" w:eastAsia="Arial" w:hAnsi="Arial"/>
          <w:sz w:val="22"/>
          <w:szCs w:val="22"/>
        </w:rPr>
        <w:t xml:space="preserve">L'architecture proposée pour Nova Syndicate Phase I répond complètement au cahier des charges défini pour les 85 employés répartis sur 2 sites (Lyon/Marseille) et 20 nomades. Les trois critères d'évaluation stratégiques sont garantis :</w:t>
      </w:r>
    </w:p>
    <w:p>
      <w:pPr>
        <w:spacing w:after="60" w:before="60"/>
      </w:pPr>
      <w:r>
        <w:t xml:space="preserve"/>
      </w:r>
    </w:p>
    <w:p>
      <w:pPr>
        <w:pStyle w:val="ListParagraph"/>
        <w:numPr>
          <w:ilvl w:val="0"/>
          <w:numId w:val="2"/>
        </w:numPr>
        <w:spacing w:after="60" w:before="60"/>
      </w:pPr>
      <w:r>
        <w:rPr>
          <w:rFonts w:ascii="Arial" w:cs="Arial" w:eastAsia="Arial" w:hAnsi="Arial"/>
          <w:b/>
          <w:bCs/>
          <w:sz w:val="22"/>
          <w:szCs w:val="22"/>
        </w:rPr>
        <w:t xml:space="preserve">Sécurité : défense en profondeur (5 couches), conformité ANSSI/ISO 27001/RGPD, chiffrement end-to-end</w:t>
      </w:r>
    </w:p>
    <w:p>
      <w:pPr>
        <w:pStyle w:val="ListParagraph"/>
        <w:numPr>
          <w:ilvl w:val="0"/>
          <w:numId w:val="2"/>
        </w:numPr>
        <w:spacing w:after="60" w:before="60"/>
      </w:pPr>
      <w:r>
        <w:rPr>
          <w:rFonts w:ascii="Arial" w:cs="Arial" w:eastAsia="Arial" w:hAnsi="Arial"/>
          <w:b/>
          <w:bCs/>
          <w:sz w:val="22"/>
          <w:szCs w:val="22"/>
        </w:rPr>
        <w:t xml:space="preserve">Disponibilité : SLA ≥ 99,5 %, PCA/PRA documentés, réplication inter-sites, RTO &lt; 2 h</w:t>
      </w:r>
    </w:p>
    <w:p>
      <w:pPr>
        <w:pStyle w:val="ListParagraph"/>
        <w:numPr>
          <w:ilvl w:val="0"/>
          <w:numId w:val="2"/>
        </w:numPr>
        <w:spacing w:after="60" w:before="60"/>
      </w:pPr>
      <w:r>
        <w:rPr>
          <w:rFonts w:ascii="Arial" w:cs="Arial" w:eastAsia="Arial" w:hAnsi="Arial"/>
          <w:b/>
          <w:bCs/>
          <w:sz w:val="22"/>
          <w:szCs w:val="22"/>
        </w:rPr>
        <w:t xml:space="preserve">Scalabilité : architecture Proxmox extensible, VM réserve pré-configurée, adressage prévu pour croissance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Prochaine étape</w:t>
            </w:r>
          </w:p>
        </w:tc>
        <w:tc>
          <w:tcPr>
            <w:tcW w:type="dxa" w:w="7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II — Déploiement et configuration détaillée : Samba4 Active Directory, serveur de fichiers, MariaDB, Proxmox VE.</w:t>
            </w:r>
          </w:p>
        </w:tc>
      </w:tr>
    </w:tbl>
    <w:p>
      <w:pPr>
        <w:spacing w:after="60" w:before="60"/>
      </w:pPr>
      <w:r>
        <w:t xml:space="preserve"/>
      </w:r>
    </w:p>
    <w:p>
      <w:pPr>
        <w:spacing w:after="80" w:before="240"/>
        <w:jc w:val="center"/>
      </w:pPr>
      <w:r>
        <w:rPr>
          <w:rFonts w:ascii="Arial" w:cs="Arial" w:eastAsia="Arial" w:hAnsi="Arial"/>
          <w:i/>
          <w:iCs/>
          <w:color w:val="888888"/>
          <w:sz w:val="20"/>
          <w:szCs w:val="20"/>
        </w:rPr>
        <w:t xml:space="preserve">— Fin du Rapport Phase I —</w:t>
      </w:r>
    </w:p>
    <w:p>
      <w:pPr>
        <w:jc w:val="center"/>
      </w:pPr>
      <w:r>
        <w:rPr>
          <w:rFonts w:ascii="Arial" w:cs="Arial" w:eastAsia="Arial" w:hAnsi="Arial"/>
          <w:color w:val="999999"/>
          <w:sz w:val="18"/>
          <w:szCs w:val="18"/>
        </w:rPr>
        <w:t xml:space="preserve">Équipe Cybersécurité Nova Syndicate  |  Avril 2026  |  CONFIDENTIEL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jc w:val="right"/>
    </w:pPr>
    <w:r>
      <w:rPr>
        <w:rFonts w:ascii="Arial" w:cs="Arial" w:eastAsia="Arial" w:hAnsi="Arial"/>
        <w:color w:val="666666"/>
        <w:sz w:val="18"/>
        <w:szCs w:val="18"/>
      </w:rPr>
      <w:t xml:space="preserve">Page </w:t>
    </w:r>
    <w:r>
      <w:rPr>
        <w:rFonts w:ascii="Arial" w:cs="Arial" w:eastAsia="Arial" w:hAnsi="Arial"/>
        <w:color w:val="1F3864"/>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w:t>
    </w:r>
    <w:r>
      <w:rPr>
        <w:rFonts w:ascii="Arial" w:cs="Arial" w:eastAsia="Arial" w:hAnsi="Arial"/>
        <w:color w:val="1F3864"/>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pPr>
    <w:r>
      <w:rPr>
        <w:rFonts w:ascii="Arial" w:cs="Arial" w:eastAsia="Arial" w:hAnsi="Arial"/>
        <w:b/>
        <w:bCs/>
        <w:color w:val="1F3864"/>
        <w:sz w:val="22"/>
        <w:szCs w:val="22"/>
      </w:rPr>
      <w:t xml:space="preserve">NOVA SYNDICATE</w:t>
    </w:r>
    <w:r>
      <w:rPr>
        <w:rFonts w:ascii="Arial" w:cs="Arial" w:eastAsia="Arial" w:hAnsi="Arial"/>
        <w:color w:val="666666"/>
        <w:sz w:val="20"/>
        <w:szCs w:val="20"/>
      </w:rPr>
      <w:t xml:space="preserve">    |    Phase I — Analyse des Besoins &amp; Architecture</w:t>
    </w:r>
    <w:r>
      <w:rPr>
        <w:rFonts w:ascii="Arial" w:cs="Arial" w:eastAsia="Arial" w:hAnsi="Arial"/>
        <w:color w:val="999999"/>
        <w:sz w:val="18"/>
        <w:szCs w:val="18"/>
      </w:rPr>
      <w:t xml:space="preserve">    |    Confidentiel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18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2026-04-18T08:40:56.135Z</dcterms:created>
  <dcterms:modified xsi:type="dcterms:W3CDTF">2026-04-18T08:40:56.135Z</dcterms:modified>
</cp:coreProperties>
</file>

<file path=docProps/custom.xml><?xml version="1.0" encoding="utf-8"?>
<Properties xmlns="http://schemas.openxmlformats.org/officeDocument/2006/custom-properties" xmlns:vt="http://schemas.openxmlformats.org/officeDocument/2006/docPropsVTypes"/>
</file>