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94a562c18fc29e849d46922774328c14355fb4c"/>
    <w:p>
      <w:pPr>
        <w:pStyle w:val="Heading1"/>
      </w:pPr>
      <w:r>
        <w:t xml:space="preserve">Maintenance and Future Evolution Plan for MediLab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Victoria Dowana (Student ID: 22425077)</w:t>
      </w:r>
    </w:p>
    <w:bookmarkStart w:id="9" w:name="maintenance-strategy"/>
    <w:p>
      <w:pPr>
        <w:pStyle w:val="Heading2"/>
      </w:pPr>
      <w:r>
        <w:t xml:space="preserve">1. Maintenance strategy</w:t>
      </w:r>
    </w:p>
    <w:p>
      <w:pPr>
        <w:pStyle w:val="FirstParagraph"/>
      </w:pPr>
      <w:r>
        <w:rPr>
          <w:b/>
          <w:bCs/>
        </w:rPr>
        <w:t xml:space="preserve">Monitoring.</w:t>
      </w:r>
      <w:r>
        <w:t xml:space="preserve"> </w:t>
      </w:r>
      <w:r>
        <w:t xml:space="preserve">Vercel’s deployment dashboard covers uptime/build failures; there’s no application level error tracking (e.g. Sentry) wired in yet. The nearest thing today is</w:t>
      </w:r>
      <w:r>
        <w:t xml:space="preserve"> </w:t>
      </w:r>
      <w:r>
        <w:rPr>
          <w:rStyle w:val="VerbatimChar"/>
        </w:rPr>
        <w:t xml:space="preserve">src/app/error.tsx</w:t>
      </w:r>
      <w:r>
        <w:t xml:space="preserve">’s generic client facing fallback and Next.js’s own server logs. Adding a lightweight error tracking integration is the single highest leverage maintenance improvement not yet made (see §2).</w:t>
      </w:r>
    </w:p>
    <w:p>
      <w:pPr>
        <w:pStyle w:val="BodyText"/>
      </w:pPr>
      <w:r>
        <w:rPr>
          <w:b/>
          <w:bCs/>
        </w:rPr>
        <w:t xml:space="preserve">Routine maintenance tasks:</w:t>
      </w:r>
      <w:r>
        <w:t xml:space="preserve"> </w:t>
      </w:r>
      <w:r>
        <w:t xml:space="preserve">- Dependency updates: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next-auth</w:t>
      </w:r>
      <w:r>
        <w:t xml:space="preserve"> </w:t>
      </w:r>
      <w:r>
        <w:t xml:space="preserve">(still on a beta release,</w:t>
      </w:r>
      <w:r>
        <w:t xml:space="preserve"> </w:t>
      </w:r>
      <w:r>
        <w:rPr>
          <w:rStyle w:val="VerbatimChar"/>
        </w:rPr>
        <w:t xml:space="preserve">^5.0.0-beta.32</w:t>
      </w:r>
      <w:r>
        <w:t xml:space="preserve">, worth tracking for a stable v5 release),</w:t>
      </w:r>
      <w:r>
        <w:t xml:space="preserve"> </w:t>
      </w:r>
      <w:r>
        <w:rPr>
          <w:rStyle w:val="VerbatimChar"/>
        </w:rPr>
        <w:t xml:space="preserve">prisma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are the ones most likely to ship breaking changes worth reviewing individually rather than blanket upgrading.</w:t>
      </w:r>
      <w:r>
        <w:t xml:space="preserve"> </w:t>
      </w:r>
      <w:r>
        <w:t xml:space="preserve">- Database backups: not currently configured. Whichever Postgres provider is used in production (Neon/Vercel Postgres per</w:t>
      </w:r>
      <w:r>
        <w:t xml:space="preserve"> </w:t>
      </w:r>
      <w:r>
        <w:rPr>
          <w:rStyle w:val="VerbatimChar"/>
        </w:rPr>
        <w:t xml:space="preserve">docs/Testing_Report.md</w:t>
      </w:r>
      <w:r>
        <w:t xml:space="preserve"> </w:t>
      </w:r>
      <w:r>
        <w:t xml:space="preserve">§6’s deployment path) should have point in time recovery or scheduled backups enabled before real patient/lab data accumulates.</w:t>
      </w:r>
      <w:r>
        <w:t xml:space="preserve"> </w:t>
      </w:r>
      <w:r>
        <w:t xml:space="preserve">- Audit log review: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(NFR10) records every lab approval/rejection/suspension, worth a periodic spot check by the platform admin, since nothing currently alerts on unusual activity there.</w:t>
      </w:r>
      <w:r>
        <w:t xml:space="preserve"> </w:t>
      </w:r>
      <w:r>
        <w:t xml:space="preserve">- Rate limiter reset:</w:t>
      </w:r>
      <w:r>
        <w:t xml:space="preserve"> </w:t>
      </w:r>
      <w:r>
        <w:rPr>
          <w:rStyle w:val="VerbatimChar"/>
        </w:rPr>
        <w:t xml:space="preserve">src/lib/rate-limit.ts</w:t>
      </w:r>
      <w:r>
        <w:t xml:space="preserve">’s in memory state resets on every deploy/restart by design (</w:t>
      </w:r>
      <w:r>
        <w:rPr>
          <w:rStyle w:val="VerbatimChar"/>
        </w:rPr>
        <w:t xml:space="preserve">docs/Technical_Debt_Plan.md</w:t>
      </w:r>
      <w:r>
        <w:t xml:space="preserve"> </w:t>
      </w:r>
      <w:r>
        <w:t xml:space="preserve">§2). Not an incident, just worth knowing so a</w:t>
      </w:r>
      <w:r>
        <w:t xml:space="preserve"> </w:t>
      </w:r>
      <w:r>
        <w:t xml:space="preserve">“why did the lockout clear”</w:t>
      </w:r>
      <w:r>
        <w:t xml:space="preserve"> </w:t>
      </w:r>
      <w:r>
        <w:t xml:space="preserve">question has a ready answer.</w:t>
      </w:r>
    </w:p>
    <w:p>
      <w:pPr>
        <w:pStyle w:val="BodyText"/>
      </w:pPr>
      <w:r>
        <w:rPr>
          <w:b/>
          <w:bCs/>
        </w:rPr>
        <w:t xml:space="preserve">Who fixes what:</w:t>
      </w:r>
      <w:r>
        <w:t xml:space="preserve"> </w:t>
      </w:r>
      <w:r>
        <w:t xml:space="preserve">given this is a solo built pilot (</w:t>
      </w:r>
      <w:r>
        <w:rPr>
          <w:rStyle w:val="VerbatimChar"/>
        </w:rPr>
        <w:t xml:space="preserve">docs/SRS.md</w:t>
      </w:r>
      <w:r>
        <w:t xml:space="preserve">’s stakeholder list), there’s no formal on call rotation. The practical process is: reproduce, check</w:t>
      </w:r>
      <w:r>
        <w:t xml:space="preserve"> </w:t>
      </w:r>
      <w:r>
        <w:rPr>
          <w:rStyle w:val="VerbatimChar"/>
        </w:rPr>
        <w:t xml:space="preserve">docs/Technical_Debt_Plan.md</w:t>
      </w:r>
      <w:r>
        <w:t xml:space="preserve"> </w:t>
      </w:r>
      <w:r>
        <w:t xml:space="preserve">first (is this a known, accepted gap rather than a bug?), then fix and add a regression test in</w:t>
      </w:r>
      <w:r>
        <w:t xml:space="preserve"> </w:t>
      </w:r>
      <w:r>
        <w:rPr>
          <w:rStyle w:val="VerbatimChar"/>
        </w:rPr>
        <w:t xml:space="preserve">src/app/actions/__tests__/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src/lib/__tests__/</w:t>
      </w:r>
      <w:r>
        <w:t xml:space="preserve"> </w:t>
      </w:r>
      <w:r>
        <w:t xml:space="preserve">following the existing pattern (</w:t>
      </w:r>
      <w:r>
        <w:rPr>
          <w:rStyle w:val="VerbatimChar"/>
        </w:rPr>
        <w:t xml:space="preserve">docs/Testing_Report.md</w:t>
      </w:r>
      <w:r>
        <w:t xml:space="preserve"> </w:t>
      </w:r>
      <w:r>
        <w:t xml:space="preserve">§1–2) before shipping the fix.</w:t>
      </w:r>
    </w:p>
    <w:p>
      <w:pPr>
        <w:pStyle w:val="BodyText"/>
      </w:pPr>
      <w:r>
        <w:rPr>
          <w:b/>
          <w:bCs/>
        </w:rPr>
        <w:t xml:space="preserve">Regression safety net.</w:t>
      </w:r>
      <w:r>
        <w:t xml:space="preserve"> </w:t>
      </w:r>
      <w:r>
        <w:t xml:space="preserve">Before merging any change: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(44+ Vitest cases),</w:t>
      </w:r>
      <w:r>
        <w:t xml:space="preserve"> </w:t>
      </w:r>
      <w:r>
        <w:rPr>
          <w:rStyle w:val="VerbatimChar"/>
        </w:rPr>
        <w:t xml:space="preserve">npm run verify:tenant-isolation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. All four are fast (a few seconds combined) and were kept green throughout Phase 3-4; treat a red result on any of them as blocking, especially</w:t>
      </w:r>
      <w:r>
        <w:t xml:space="preserve"> </w:t>
      </w:r>
      <w:r>
        <w:rPr>
          <w:rStyle w:val="VerbatimChar"/>
        </w:rPr>
        <w:t xml:space="preserve">verify:tenant-isolation</w:t>
      </w:r>
      <w:r>
        <w:t xml:space="preserve"> </w:t>
      </w:r>
      <w:r>
        <w:t xml:space="preserve">given the tenant isolation guarantee is the system’s core risk (</w:t>
      </w:r>
      <w:r>
        <w:rPr>
          <w:rStyle w:val="VerbatimChar"/>
        </w:rPr>
        <w:t xml:space="preserve">todo.md</w:t>
      </w:r>
      <w:r>
        <w:t xml:space="preserve">’s Project Concept section).</w:t>
      </w:r>
    </w:p>
    <w:bookmarkEnd w:id="9"/>
    <w:bookmarkStart w:id="10" w:name="X10c9368aebf488e4b69b78aec228b689f7aa64d"/>
    <w:p>
      <w:pPr>
        <w:pStyle w:val="Heading2"/>
      </w:pPr>
      <w:r>
        <w:t xml:space="preserve">2. Near term technical debt repayment (from</w:t>
      </w:r>
      <w:r>
        <w:t xml:space="preserve"> </w:t>
      </w:r>
      <w:r>
        <w:rPr>
          <w:rStyle w:val="VerbatimChar"/>
        </w:rPr>
        <w:t xml:space="preserve">docs/Technical_Debt_Plan.md</w:t>
      </w:r>
      <w:r>
        <w:t xml:space="preserve">)</w:t>
      </w:r>
    </w:p>
    <w:p>
      <w:pPr>
        <w:pStyle w:val="FirstParagraph"/>
      </w:pPr>
      <w:r>
        <w:t xml:space="preserve">In rough priority order for a</w:t>
      </w:r>
      <w:r>
        <w:t xml:space="preserve"> </w:t>
      </w:r>
      <w:r>
        <w:t xml:space="preserve">“v1.1”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Simplified result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docs/Technical_Debt_Plan.md</w:t>
      </w:r>
      <w:r>
        <w:t xml:space="preserve"> </w:t>
      </w:r>
      <w:r>
        <w:t xml:space="preserve">§7): the biggest functional gap. Add a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model and a lab staff upload/patient view flow.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Cancelled slots stay blocked</w:t>
      </w:r>
      <w:r>
        <w:t xml:space="preserve"> </w:t>
      </w:r>
      <w:r>
        <w:t xml:space="preserve">(§1): a partial unique index fix, small and self contained.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Retained E2E test suite</w:t>
      </w:r>
      <w:r>
        <w:t xml:space="preserve"> </w:t>
      </w:r>
      <w:r>
        <w:t xml:space="preserve">(§8): reinstall Playwright as a real devDependency (not install then remove) and add it to CI, building on the walkthrough script proven out in</w:t>
      </w:r>
      <w:r>
        <w:t xml:space="preserve"> </w:t>
      </w:r>
      <w:r>
        <w:rPr>
          <w:rStyle w:val="VerbatimChar"/>
        </w:rPr>
        <w:t xml:space="preserve">docs/Testing_Report.md</w:t>
      </w:r>
      <w:r>
        <w:t xml:space="preserve"> </w:t>
      </w:r>
      <w:r>
        <w:t xml:space="preserve">§6.</w:t>
      </w:r>
      <w:r>
        <w:t xml:space="preserve"> </w:t>
      </w:r>
      <w:r>
        <w:t xml:space="preserve">4. Everything else in the debt plan is explicitly</w:t>
      </w:r>
      <w:r>
        <w:t xml:space="preserve"> </w:t>
      </w:r>
      <w:r>
        <w:t xml:space="preserve">“acceptable temporarily”</w:t>
      </w:r>
      <w:r>
        <w:t xml:space="preserve"> </w:t>
      </w:r>
      <w:r>
        <w:t xml:space="preserve">and doesn’t need near term action.</w:t>
      </w:r>
    </w:p>
    <w:bookmarkEnd w:id="10"/>
    <w:bookmarkStart w:id="11" w:name="future-evolution-beyond-debt-repayment"/>
    <w:p>
      <w:pPr>
        <w:pStyle w:val="Heading2"/>
      </w:pPr>
      <w:r>
        <w:t xml:space="preserve">3. Future evolution: beyond debt repayment</w:t>
      </w:r>
    </w:p>
    <w:p>
      <w:pPr>
        <w:pStyle w:val="FirstParagraph"/>
      </w:pPr>
      <w:r>
        <w:t xml:space="preserve">Roughly in the order the product would naturally grow, referencing the scope explicitly cut in</w:t>
      </w:r>
      <w:r>
        <w:t xml:space="preserve"> </w:t>
      </w:r>
      <w:r>
        <w:rPr>
          <w:rStyle w:val="VerbatimChar"/>
        </w:rPr>
        <w:t xml:space="preserve">docs/Effort_Estimation.md</w:t>
      </w:r>
      <w:r>
        <w:t xml:space="preserve"> </w:t>
      </w:r>
      <w:r>
        <w:t xml:space="preserve">§6: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geocoding and distance search</w:t>
      </w:r>
      <w:r>
        <w:t xml:space="preserve">: replace the city text filter (</w:t>
      </w:r>
      <w:r>
        <w:rPr>
          <w:rStyle w:val="VerbatimChar"/>
        </w:rPr>
        <w:t xml:space="preserve">docs/Technical_Debt_Plan.md</w:t>
      </w:r>
      <w:r>
        <w:t xml:space="preserve"> </w:t>
      </w:r>
      <w:r>
        <w:t xml:space="preserve">§4) once the lab count per city grows enough that</w:t>
      </w:r>
      <w:r>
        <w:t xml:space="preserve"> </w:t>
      </w:r>
      <w:r>
        <w:t xml:space="preserve">“nearest”</w:t>
      </w:r>
      <w:r>
        <w:t xml:space="preserve"> </w:t>
      </w:r>
      <w:r>
        <w:t xml:space="preserve">actually matters.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 integration</w:t>
      </w:r>
      <w:r>
        <w:t xml:space="preserve">: online checkout at booking time, once off platform payment (the current model) becomes friction rather than a deliberate simplification.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SMS notifications</w:t>
      </w:r>
      <w:r>
        <w:t xml:space="preserve">: a second channel alongside the existing email path (</w:t>
      </w:r>
      <w:r>
        <w:rPr>
          <w:rStyle w:val="VerbatimChar"/>
        </w:rPr>
        <w:t xml:space="preserve">src/lib/email.ts</w:t>
      </w:r>
      <w:r>
        <w:t xml:space="preserve">), for patients/staff without reliable email access.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 instance deployment support</w:t>
      </w:r>
      <w:r>
        <w:t xml:space="preserve">: replace the in memory rate limiter (</w:t>
      </w:r>
      <w:r>
        <w:rPr>
          <w:rStyle w:val="VerbatimChar"/>
        </w:rPr>
        <w:t xml:space="preserve">docs/Technical_Debt_Plan.md</w:t>
      </w:r>
      <w:r>
        <w:t xml:space="preserve"> </w:t>
      </w:r>
      <w:r>
        <w:t xml:space="preserve">§2) with a shared store; this is a prerequisite for horizontal scaling, not optional once traffic justifies more than one instance.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lab vetting</w:t>
      </w:r>
      <w:r>
        <w:t xml:space="preserve">: reduce the platform admin’s manual, one at a time approval bottleneck (§3) as onboarding volume grows past what one person can review promptly.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Richer platform admin test catalog tooling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docs/SRS.md</w:t>
      </w:r>
      <w:r>
        <w:t xml:space="preserve"> </w:t>
      </w:r>
      <w:r>
        <w:t xml:space="preserve">§5’s</w:t>
      </w:r>
      <w:r>
        <w:t xml:space="preserve"> </w:t>
      </w:r>
      <w:r>
        <w:t xml:space="preserve">“Change note (v2.1)”</w:t>
      </w:r>
      <w:r>
        <w:t xml:space="preserve"> </w:t>
      </w:r>
      <w:r>
        <w:t xml:space="preserve">deliberately deferred test catalog CRUD out of scope for the initial release (catalog is fixed, seeded data). Revisit once the catalog needs to grow beyond what a direct DB seed can handle.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Notifications beyond booking/cancellation</w:t>
      </w:r>
      <w:r>
        <w:t xml:space="preserve">: e.g. a reminder before an upcoming appointment, or a nudge to a lab with an aging PENDING sample.</w:t>
      </w:r>
    </w:p>
    <w:bookmarkEnd w:id="11"/>
    <w:bookmarkStart w:id="12" w:name="what-would-not-change"/>
    <w:p>
      <w:pPr>
        <w:pStyle w:val="Heading2"/>
      </w:pPr>
      <w:r>
        <w:t xml:space="preserve">4. What would NOT change</w:t>
      </w:r>
    </w:p>
    <w:p>
      <w:pPr>
        <w:pStyle w:val="FirstParagraph"/>
      </w:pPr>
      <w:r>
        <w:t xml:space="preserve">The core architectural decisions, namely shared DB multi tenancy with</w:t>
      </w:r>
      <w:r>
        <w:t xml:space="preserve"> </w:t>
      </w:r>
      <w:r>
        <w:rPr>
          <w:rStyle w:val="VerbatimChar"/>
        </w:rPr>
        <w:t xml:space="preserve">lab_id</w:t>
      </w:r>
      <w:r>
        <w:t xml:space="preserve"> </w:t>
      </w:r>
      <w:r>
        <w:t xml:space="preserve">row level scoping enforced through a single Prisma Client Extension (</w:t>
      </w:r>
      <w:r>
        <w:rPr>
          <w:rStyle w:val="VerbatimChar"/>
        </w:rPr>
        <w:t xml:space="preserve">src/lib/tenant-scope.ts</w:t>
      </w:r>
      <w:r>
        <w:t xml:space="preserve">), rather than schema per tenant, should hold even at meaningfully larger scale (</w:t>
      </w:r>
      <w:r>
        <w:rPr>
          <w:rStyle w:val="VerbatimChar"/>
        </w:rPr>
        <w:t xml:space="preserve">docs/System_Design.md</w:t>
      </w:r>
      <w:r>
        <w:t xml:space="preserve"> </w:t>
      </w:r>
      <w:r>
        <w:t xml:space="preserve">§2’s rationale doesn’t change with growth, only with a much larger number of very large tenants, which isn’t this product’s shape). Any future evolution should extend that pattern (new lab scoped models get a</w:t>
      </w:r>
      <w:r>
        <w:t xml:space="preserve"> </w:t>
      </w:r>
      <w:r>
        <w:rPr>
          <w:rStyle w:val="VerbatimChar"/>
        </w:rPr>
        <w:t xml:space="preserve">labId</w:t>
      </w:r>
      <w:r>
        <w:t xml:space="preserve"> </w:t>
      </w:r>
      <w:r>
        <w:t xml:space="preserve">column and a corresponding scoper function) rather than introduce a second, inconsistent access path.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2026-08-13T21:40:23Z</dcterms:created>
  <dcterms:modified xsi:type="dcterms:W3CDTF">2026-08-13T21:40:23Z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