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ystem-design"/>
    <w:p>
      <w:pPr>
        <w:pStyle w:val="Heading1"/>
      </w:pPr>
      <w:r>
        <w:t xml:space="preserve">System Design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MediLab, a Multi Tenant Diagnostic Lab Marketplace and Appointment Platform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Victoria Dowana (Student ID: 22425077)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2026-08-12</w:t>
      </w:r>
    </w:p>
    <w:p>
      <w:pPr>
        <w:pStyle w:val="BlockText"/>
      </w:pPr>
      <w:r>
        <w:t xml:space="preserve">Builds on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(requirements, actors, MoSCoW scope) and</w:t>
      </w:r>
      <w:r>
        <w:t xml:space="preserve"> </w:t>
      </w:r>
      <w:r>
        <w:rPr>
          <w:rStyle w:val="VerbatimChar"/>
        </w:rPr>
        <w:t xml:space="preserve">Effort_Estimation.md</w:t>
      </w:r>
      <w:r>
        <w:t xml:space="preserve"> </w:t>
      </w:r>
      <w:r>
        <w:t xml:space="preserve">(use case sizing). Diagrams selected are the ones that best communicate a multi tenant system: architecture, tenant data model, use case, class, two sequence flows, and ER. Wireframes are described rather than drawn in full fidelity, which is appropriate for an initial release.</w:t>
      </w:r>
    </w:p>
    <w:p>
      <w:r>
        <w:pict>
          <v:rect style="width:0;height:1.5pt" o:hralign="center" o:hrstd="t" o:hr="t"/>
        </w:pict>
      </w:r>
    </w:p>
    <w:bookmarkStart w:id="9" w:name="technology-stack"/>
    <w:p>
      <w:pPr>
        <w:pStyle w:val="Heading2"/>
      </w:pPr>
      <w:r>
        <w:t xml:space="preserve">1.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</w:t>
            </w:r>
          </w:p>
        </w:tc>
        <w:tc>
          <w:tcPr/>
          <w:p>
            <w:pPr>
              <w:pStyle w:val="Compact"/>
            </w:pPr>
            <w:r>
              <w:t xml:space="preserve">Next.js (React) + Tailwind CSS</w:t>
            </w:r>
          </w:p>
        </w:tc>
        <w:tc>
          <w:tcPr/>
          <w:p>
            <w:pPr>
              <w:pStyle w:val="Compact"/>
            </w:pPr>
            <w:r>
              <w:t xml:space="preserve">Single framework covers three distinct UI surfaces (patient, lab console, platform admin console) without standing up separate apps; fast to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end</w:t>
            </w:r>
          </w:p>
        </w:tc>
        <w:tc>
          <w:tcPr/>
          <w:p>
            <w:pPr>
              <w:pStyle w:val="Compact"/>
            </w:pPr>
            <w:r>
              <w:t xml:space="preserve">Next.js API routes (Node.js/TypeScript)</w:t>
            </w:r>
          </w:p>
        </w:tc>
        <w:tc>
          <w:tcPr/>
          <w:p>
            <w:pPr>
              <w:pStyle w:val="Compact"/>
            </w:pPr>
            <w:r>
              <w:t xml:space="preserve">Keeps one deployable unit for a small team; avoids the coordination overhead of a separate backend service for an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(managed, e.g. Supabase/Neon)</w:t>
            </w:r>
          </w:p>
        </w:tc>
        <w:tc>
          <w:tcPr/>
          <w:p>
            <w:pPr>
              <w:pStyle w:val="Compact"/>
            </w:pPr>
            <w:r>
              <w:t xml:space="preserve">Relational integrity (foreign keys, unique constraints) is exactly what tenant scoped data and slot clash prevention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Typed schema/migrations, and its query extension mechanism is the enforcement point for tenant scoping (§2)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Auth.js (NextAuth) or the managed provider’s built in auth</w:t>
            </w:r>
          </w:p>
        </w:tc>
        <w:tc>
          <w:tcPr/>
          <w:p>
            <w:pPr>
              <w:pStyle w:val="Compact"/>
            </w:pPr>
            <w:r>
              <w:t xml:space="preserve">Password hashing and session handling out of the box, rather than hand rolled, directly supporting NFR1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(app) + managed Postgres</w:t>
            </w:r>
          </w:p>
        </w:tc>
        <w:tc>
          <w:tcPr/>
          <w:p>
            <w:pPr>
              <w:pStyle w:val="Compact"/>
            </w:pPr>
            <w:r>
              <w:t xml:space="preserve">Cost effective/pilot tier per</w:t>
            </w:r>
            <w:r>
              <w:t xml:space="preserve"> </w:t>
            </w:r>
            <w:r>
              <w:rPr>
                <w:rStyle w:val="VerbatimChar"/>
              </w:rPr>
              <w:t xml:space="preserve">SRS.md</w:t>
            </w:r>
            <w:r>
              <w:t xml:space="preserve"> </w:t>
            </w:r>
            <w:r>
              <w:t xml:space="preserve">§9, minimal ops overhead</w:t>
            </w:r>
          </w:p>
        </w:tc>
      </w:tr>
    </w:tbl>
    <w:p>
      <w:pPr>
        <w:pStyle w:val="BodyText"/>
      </w:pPr>
      <w:r>
        <w:t xml:space="preserve">This stack is chosen for velocity on a small team, consistent with the effort estimate’s assumption of scaffolding/tooling reuse (</w:t>
      </w:r>
      <w:r>
        <w:rPr>
          <w:rStyle w:val="VerbatimChar"/>
        </w:rPr>
        <w:t xml:space="preserve">Effort_Estimation.md</w:t>
      </w:r>
      <w:r>
        <w:t xml:space="preserve"> </w:t>
      </w:r>
      <w:r>
        <w:t xml:space="preserve">§4).</w:t>
      </w:r>
    </w:p>
    <w:p>
      <w:r>
        <w:pict>
          <v:rect style="width:0;height:1.5pt" o:hralign="center" o:hrstd="t" o:hr="t"/>
        </w:pict>
      </w:r>
    </w:p>
    <w:bookmarkEnd w:id="9"/>
    <w:bookmarkStart w:id="10" w:name="multi-tenancy-data-model-decision"/>
    <w:p>
      <w:pPr>
        <w:pStyle w:val="Heading2"/>
      </w:pPr>
      <w:r>
        <w:t xml:space="preserve">2. Multi Tenancy Data Model Decision</w:t>
      </w:r>
    </w:p>
    <w:p>
      <w:pPr>
        <w:pStyle w:val="FirstParagraph"/>
      </w:pPr>
      <w:r>
        <w:rPr>
          <w:b/>
          <w:bCs/>
        </w:rPr>
        <w:t xml:space="preserve">Decision: shared database, shared schema, with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labId</w:t>
      </w:r>
      <w:r>
        <w:rPr>
          <w:b/>
          <w:bCs/>
        </w:rPr>
        <w:t xml:space="preserve"> </w:t>
      </w:r>
      <w:r>
        <w:rPr>
          <w:b/>
          <w:bCs/>
        </w:rPr>
        <w:t xml:space="preserve">column on every lab scoped table, enforced through a single centralised data access layer.</w:t>
      </w:r>
    </w:p>
    <w:p>
      <w:pPr>
        <w:pStyle w:val="BodyText"/>
      </w:pPr>
      <w:r>
        <w:t xml:space="preserve">Alternative considered:</w:t>
      </w:r>
      <w:r>
        <w:t xml:space="preserve"> </w:t>
      </w:r>
      <w:r>
        <w:rPr>
          <w:b/>
          <w:bCs/>
        </w:rPr>
        <w:t xml:space="preserve">schema per tenant</w:t>
      </w:r>
      <w:r>
        <w:t xml:space="preserve"> </w:t>
      </w:r>
      <w:r>
        <w:t xml:space="preserve">(or database per tenant). Rejected for this release because:</w:t>
      </w:r>
      <w:r>
        <w:t xml:space="preserve"> </w:t>
      </w:r>
      <w:r>
        <w:t xml:space="preserve">- The platform’s core value is</w:t>
      </w:r>
      <w:r>
        <w:t xml:space="preserve"> </w:t>
      </w:r>
      <w:r>
        <w:rPr>
          <w:b/>
          <w:bCs/>
        </w:rPr>
        <w:t xml:space="preserve">cross tenant search and comparison</w:t>
      </w:r>
      <w:r>
        <w:t xml:space="preserve"> </w:t>
      </w:r>
      <w:r>
        <w:t xml:space="preserve">(FR3, FR4), which requires querying across labs in one pass; schema/DB per tenant turns that into a fan out query across N schemas, adding real complexity for no benefit at pilot scale.</w:t>
      </w:r>
      <w:r>
        <w:t xml:space="preserve"> </w:t>
      </w:r>
      <w:r>
        <w:t xml:space="preserve">- The initial release onboards a small number of pilot labs (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§4 assumption); the operational cost of migrating N schemas in lockstep isn’t justified yet.</w:t>
      </w:r>
      <w:r>
        <w:t xml:space="preserve"> </w:t>
      </w:r>
      <w:r>
        <w:t xml:space="preserve">- A shared schema lets tenant scoping be enforced in</w:t>
      </w:r>
      <w:r>
        <w:t xml:space="preserve"> </w:t>
      </w:r>
      <w:r>
        <w:rPr>
          <w:b/>
          <w:bCs/>
        </w:rPr>
        <w:t xml:space="preserve">one place</w:t>
      </w:r>
      <w:r>
        <w:t xml:space="preserve">, directly satisfying NFR7 (</w:t>
      </w:r>
      <w:r>
        <w:t xml:space="preserve">“tenant scoping logic is centralised, not re implemented per query”</w:t>
      </w:r>
      <w:r>
        <w:t xml:space="preserve">), which is the strongest available mitigation against an isolation bug (the single highest severity risk identified in</w:t>
      </w:r>
      <w:r>
        <w:t xml:space="preserve"> </w:t>
      </w:r>
      <w:r>
        <w:rPr>
          <w:rStyle w:val="VerbatimChar"/>
        </w:rPr>
        <w:t xml:space="preserve">Effort_Estimation.md</w:t>
      </w:r>
      <w:r>
        <w:t xml:space="preserve"> </w:t>
      </w:r>
      <w:r>
        <w:t xml:space="preserve">§3 and §6).</w:t>
      </w:r>
    </w:p>
    <w:p>
      <w:pPr>
        <w:pStyle w:val="BodyText"/>
      </w:pPr>
      <w:r>
        <w:rPr>
          <w:b/>
          <w:bCs/>
        </w:rPr>
        <w:t xml:space="preserve">Enforcement mechanism:</w:t>
      </w:r>
      <w:r>
        <w:t xml:space="preserve"> </w:t>
      </w:r>
      <w:r>
        <w:t xml:space="preserve">every Prisma query against a lab scoped model (</w:t>
      </w:r>
      <w:r>
        <w:rPr>
          <w:rStyle w:val="VerbatimChar"/>
        </w:rPr>
        <w:t xml:space="preserve">Lab</w:t>
      </w:r>
      <w:r>
        <w:t xml:space="preserve">,</w:t>
      </w:r>
      <w:r>
        <w:t xml:space="preserve"> </w:t>
      </w:r>
      <w:r>
        <w:rPr>
          <w:rStyle w:val="VerbatimChar"/>
        </w:rPr>
        <w:t xml:space="preserve">LabTestOffering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t xml:space="preserve">when accessed by staff/admin,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) is routed through a Prisma Client Extension that automatically injects a</w:t>
      </w:r>
      <w:r>
        <w:t xml:space="preserve"> </w:t>
      </w:r>
      <w:r>
        <w:rPr>
          <w:rStyle w:val="VerbatimChar"/>
        </w:rPr>
        <w:t xml:space="preserve">where: { labId: session.labId }</w:t>
      </w:r>
      <w:r>
        <w:t xml:space="preserve"> </w:t>
      </w:r>
      <w:r>
        <w:t xml:space="preserve">filter for any session whose role is</w:t>
      </w:r>
      <w:r>
        <w:t xml:space="preserve"> </w:t>
      </w:r>
      <w:r>
        <w:rPr>
          <w:rStyle w:val="VerbatimChar"/>
        </w:rPr>
        <w:t xml:space="preserve">lab_staff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lab_admin</w:t>
      </w:r>
      <w:r>
        <w:t xml:space="preserve">. Application code cannot opt out of this filter, since there is no code path that queries these tables without going through the extension.</w:t>
      </w:r>
      <w:r>
        <w:t xml:space="preserve"> </w:t>
      </w:r>
      <w:r>
        <w:rPr>
          <w:rStyle w:val="VerbatimChar"/>
        </w:rPr>
        <w:t xml:space="preserve">platform_admin</w:t>
      </w:r>
      <w:r>
        <w:t xml:space="preserve"> </w:t>
      </w:r>
      <w:r>
        <w:t xml:space="preserve">sessions use a separate, explicitly named unscoped client method, so a platform wide query is always a deliberate, visible choice in the code rather than an accidental default.</w:t>
      </w:r>
    </w:p>
    <w:p>
      <w:pPr>
        <w:pStyle w:val="BodyText"/>
      </w:pPr>
      <w:r>
        <w:t xml:space="preserve">This decision is the direct architectural response to NFR2 and FR27 in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, and is the first thing to verify under test (see the tenant isolation checkpoint in</w:t>
      </w:r>
      <w:r>
        <w:t xml:space="preserve"> </w:t>
      </w:r>
      <w:r>
        <w:rPr>
          <w:rStyle w:val="VerbatimChar"/>
        </w:rPr>
        <w:t xml:space="preserve">Effort_Estimation.md</w:t>
      </w:r>
      <w:r>
        <w:t xml:space="preserve"> </w:t>
      </w:r>
      <w:r>
        <w:t xml:space="preserve">§3 and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Phase 4).</w:t>
      </w:r>
    </w:p>
    <w:p>
      <w:pPr>
        <w:pStyle w:val="BodyText"/>
      </w:pPr>
      <w:r>
        <w:rPr>
          <w:b/>
          <w:bCs/>
        </w:rPr>
        <w:t xml:space="preserve">Deliberate exception (FR28, added post delivery):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the one platform wide model where the tenant scoped client is allowed a narrow write path,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only, so a lab admin can add a catalog entry the seeded data didn’t anticipate.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stay refused through this client, same as before. This is documented as an explicit, named exception in</w:t>
      </w:r>
      <w:r>
        <w:t xml:space="preserve"> </w:t>
      </w:r>
      <w:r>
        <w:rPr>
          <w:rStyle w:val="VerbatimChar"/>
        </w:rPr>
        <w:t xml:space="preserve">src/lib/tenant-scope.ts</w:t>
      </w:r>
      <w:r>
        <w:t xml:space="preserve"> </w:t>
      </w:r>
      <w:r>
        <w:t xml:space="preserve">rather than a general loosening of the enforcement mechanism above: only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was opened, only for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and a case insensitive duplicate name check in</w:t>
      </w:r>
      <w:r>
        <w:t xml:space="preserve"> </w:t>
      </w:r>
      <w:r>
        <w:rPr>
          <w:rStyle w:val="VerbatimChar"/>
        </w:rPr>
        <w:t xml:space="preserve">createTest</w:t>
      </w:r>
      <w:r>
        <w:t xml:space="preserve"> </w:t>
      </w:r>
      <w:r>
        <w:t xml:space="preserve">is the (application level, not database level) guard against the catalog fragmentation this design otherwise avoids. See</w:t>
      </w:r>
      <w:r>
        <w:t xml:space="preserve"> </w:t>
      </w:r>
      <w:r>
        <w:rPr>
          <w:rStyle w:val="VerbatimChar"/>
        </w:rPr>
        <w:t xml:space="preserve">Technical_Debt_Plan.md</w:t>
      </w:r>
      <w:r>
        <w:t xml:space="preserve"> </w:t>
      </w:r>
      <w:r>
        <w:t xml:space="preserve">item 9.</w:t>
      </w:r>
    </w:p>
    <w:p>
      <w:r>
        <w:pict>
          <v:rect style="width:0;height:1.5pt" o:hralign="center" o:hrstd="t" o:hr="t"/>
        </w:pict>
      </w:r>
    </w:p>
    <w:bookmarkEnd w:id="10"/>
    <w:bookmarkStart w:id="14" w:name="system-architecture"/>
    <w:p>
      <w:pPr>
        <w:pStyle w:val="Heading2"/>
      </w:pPr>
      <w:r>
        <w:t xml:space="preserve">3. System Architecture</w:t>
      </w:r>
    </w:p>
    <w:p>
      <w:pPr>
        <w:pStyle w:val="CaptionedFigure"/>
      </w:pPr>
      <w:r>
        <w:drawing>
          <wp:inline>
            <wp:extent cx="4373880" cy="3621251"/>
            <wp:effectExtent b="0" l="0" r="0" t="0"/>
            <wp:docPr descr="Diagram 1" title="" id="12" name="Picture"/>
            <a:graphic>
              <a:graphicData uri="http://schemas.openxmlformats.org/drawingml/2006/picture">
                <pic:pic>
                  <pic:nvPicPr>
                    <pic:cNvPr descr="/private/tmp/claude-502/-Users-vdowana-Downloads-Project-papers-my-project/96152037-1c31-44b1-b324-c13ac41d9c3e/scratchpad/mermaid/diagram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621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pPr>
        <w:pStyle w:val="BodyText"/>
      </w:pPr>
      <w:r>
        <w:t xml:space="preserve">All three UI surfaces are one application with role based routing/rendering, not three separate apps, which keeps the tenant scoping enforcement point (§2) singular rather than duplicated.</w:t>
      </w:r>
    </w:p>
    <w:p>
      <w:r>
        <w:pict>
          <v:rect style="width:0;height:1.5pt" o:hralign="center" o:hrstd="t" o:hr="t"/>
        </w:pict>
      </w:r>
    </w:p>
    <w:bookmarkEnd w:id="14"/>
    <w:bookmarkStart w:id="18" w:name="use-case-diagram"/>
    <w:p>
      <w:pPr>
        <w:pStyle w:val="Heading2"/>
      </w:pPr>
      <w:r>
        <w:t xml:space="preserve">4. Use Case Diagram</w:t>
      </w:r>
    </w:p>
    <w:p>
      <w:pPr>
        <w:pStyle w:val="CaptionedFigure"/>
      </w:pPr>
      <w:r>
        <w:drawing>
          <wp:inline>
            <wp:extent cx="4373880" cy="14531909"/>
            <wp:effectExtent b="0" l="0" r="0" t="0"/>
            <wp:docPr descr="Diagram 2" title="" id="16" name="Picture"/>
            <a:graphic>
              <a:graphicData uri="http://schemas.openxmlformats.org/drawingml/2006/picture">
                <pic:pic>
                  <pic:nvPicPr>
                    <pic:cNvPr descr="/private/tmp/claude-502/-Users-vdowana-Downloads-Project-papers-my-project/96152037-1c31-44b1-b324-c13ac41d9c3e/scratchpad/mermaid/diagram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453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BodyText"/>
      </w:pPr>
      <w:r>
        <w:t xml:space="preserve">Maps directly to the FR groupings in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§5; every Must have FR has a corresponding node above.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a platform owned, shared catalog entity (see §5/§8); per</w:t>
      </w:r>
      <w:r>
        <w:t xml:space="preserve"> </w:t>
      </w:r>
      <w:r>
        <w:rPr>
          <w:rStyle w:val="VerbatimChar"/>
        </w:rPr>
        <w:t xml:space="preserve">SRS.md</w:t>
      </w:r>
      <w:r>
        <w:t xml:space="preserve"> </w:t>
      </w:r>
      <w:r>
        <w:t xml:space="preserve">§5’s FR23 change note the platform admin does not curate it, but per the later FR28 change note (v2.2) a lab admin can add a new entry when the seeded catalog doesn’t cover what they need (UC15), a narrower, lab admin scoped capability, not a return of platform admin catalog management.</w:t>
      </w:r>
    </w:p>
    <w:p>
      <w:r>
        <w:pict>
          <v:rect style="width:0;height:1.5pt" o:hralign="center" o:hrstd="t" o:hr="t"/>
        </w:pict>
      </w:r>
    </w:p>
    <w:bookmarkEnd w:id="18"/>
    <w:bookmarkStart w:id="22" w:name="class-diagram"/>
    <w:p>
      <w:pPr>
        <w:pStyle w:val="Heading2"/>
      </w:pPr>
      <w:r>
        <w:t xml:space="preserve">5. Class Diagram</w:t>
      </w:r>
    </w:p>
    <w:p>
      <w:pPr>
        <w:pStyle w:val="CaptionedFigure"/>
      </w:pPr>
      <w:r>
        <w:drawing>
          <wp:inline>
            <wp:extent cx="4373880" cy="8449386"/>
            <wp:effectExtent b="0" l="0" r="0" t="0"/>
            <wp:docPr descr="Diagram 3" title="" id="20" name="Picture"/>
            <a:graphic>
              <a:graphicData uri="http://schemas.openxmlformats.org/drawingml/2006/picture">
                <pic:pic>
                  <pic:nvPicPr>
                    <pic:cNvPr descr="/private/tmp/claude-502/-Users-vdowana-Downloads-Project-papers-my-project/96152037-1c31-44b1-b324-c13ac41d9c3e/scratchpad/mermaid/diagram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844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BodyText"/>
      </w:pPr>
      <w:r>
        <w:rPr>
          <w:rStyle w:val="VerbatimChar"/>
        </w:rPr>
        <w:t xml:space="preserve">labId</w:t>
      </w:r>
      <w:r>
        <w:t xml:space="preserve"> </w:t>
      </w:r>
      <w:r>
        <w:t xml:space="preserve">appears on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(nullable, meaning null for patients and platform admins),</w:t>
      </w:r>
      <w:r>
        <w:t xml:space="preserve"> </w:t>
      </w:r>
      <w:r>
        <w:rPr>
          <w:rStyle w:val="VerbatimChar"/>
        </w:rPr>
        <w:t xml:space="preserve">Lab</w:t>
      </w:r>
      <w:r>
        <w:t xml:space="preserve"> </w:t>
      </w:r>
      <w:r>
        <w:t xml:space="preserve">itself,</w:t>
      </w:r>
      <w:r>
        <w:t xml:space="preserve"> </w:t>
      </w:r>
      <w:r>
        <w:rPr>
          <w:rStyle w:val="VerbatimChar"/>
        </w:rPr>
        <w:t xml:space="preserve">LabTestOffering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. These are exactly the tables the tenant scoping extension (§2) intercepts.</w:t>
      </w:r>
    </w:p>
    <w:p>
      <w:r>
        <w:pict>
          <v:rect style="width:0;height:1.5pt" o:hralign="center" o:hrstd="t" o:hr="t"/>
        </w:pict>
      </w:r>
    </w:p>
    <w:bookmarkEnd w:id="22"/>
    <w:bookmarkStart w:id="26" w:name="sequence-diagram-lab-onboarding"/>
    <w:p>
      <w:pPr>
        <w:pStyle w:val="Heading2"/>
      </w:pPr>
      <w:r>
        <w:t xml:space="preserve">6. Sequence Diagram: Lab Onboarding</w:t>
      </w:r>
    </w:p>
    <w:p>
      <w:pPr>
        <w:pStyle w:val="CaptionedFigure"/>
      </w:pPr>
      <w:r>
        <w:drawing>
          <wp:inline>
            <wp:extent cx="4373880" cy="2677885"/>
            <wp:effectExtent b="0" l="0" r="0" t="0"/>
            <wp:docPr descr="Diagram 4" title="" id="24" name="Picture"/>
            <a:graphic>
              <a:graphicData uri="http://schemas.openxmlformats.org/drawingml/2006/picture">
                <pic:pic>
                  <pic:nvPicPr>
                    <pic:cNvPr descr="/private/tmp/claude-502/-Users-vdowana-Downloads-Project-papers-my-project/96152037-1c31-44b1-b324-c13ac41d9c3e/scratchpad/mermaid/diagram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77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r>
        <w:pict>
          <v:rect style="width:0;height:1.5pt" o:hralign="center" o:hrstd="t" o:hr="t"/>
        </w:pict>
      </w:r>
    </w:p>
    <w:bookmarkEnd w:id="26"/>
    <w:bookmarkStart w:id="30" w:name="sequence-diagram-core-booking-flow"/>
    <w:p>
      <w:pPr>
        <w:pStyle w:val="Heading2"/>
      </w:pPr>
      <w:r>
        <w:t xml:space="preserve">7. Sequence Diagram: Core Booking Flow</w:t>
      </w:r>
    </w:p>
    <w:p>
      <w:pPr>
        <w:pStyle w:val="CaptionedFigure"/>
      </w:pPr>
      <w:r>
        <w:drawing>
          <wp:inline>
            <wp:extent cx="4373880" cy="3871776"/>
            <wp:effectExtent b="0" l="0" r="0" t="0"/>
            <wp:docPr descr="Diagram 5" title="" id="28" name="Picture"/>
            <a:graphic>
              <a:graphicData uri="http://schemas.openxmlformats.org/drawingml/2006/picture">
                <pic:pic>
                  <pic:nvPicPr>
                    <pic:cNvPr descr="/private/tmp/claude-502/-Users-vdowana-Downloads-Project-papers-my-project/96152037-1c31-44b1-b324-c13ac41d9c3e/scratchpad/mermaid/diagram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87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p>
      <w:r>
        <w:pict>
          <v:rect style="width:0;height:1.5pt" o:hralign="center" o:hrstd="t" o:hr="t"/>
        </w:pict>
      </w:r>
    </w:p>
    <w:bookmarkEnd w:id="30"/>
    <w:bookmarkStart w:id="34" w:name="er-diagram"/>
    <w:p>
      <w:pPr>
        <w:pStyle w:val="Heading2"/>
      </w:pPr>
      <w:r>
        <w:t xml:space="preserve">8. ER Diagram</w:t>
      </w:r>
    </w:p>
    <w:p>
      <w:pPr>
        <w:pStyle w:val="CaptionedFigure"/>
      </w:pPr>
      <w:r>
        <w:drawing>
          <wp:inline>
            <wp:extent cx="4373880" cy="7408817"/>
            <wp:effectExtent b="0" l="0" r="0" t="0"/>
            <wp:docPr descr="Diagram 6" title="" id="32" name="Picture"/>
            <a:graphic>
              <a:graphicData uri="http://schemas.openxmlformats.org/drawingml/2006/picture">
                <pic:pic>
                  <pic:nvPicPr>
                    <pic:cNvPr descr="/private/tmp/claude-502/-Users-vdowana-Downloads-Project-papers-my-project/96152037-1c31-44b1-b324-c13ac41d9c3e/scratchpad/mermaid/diagram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740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p>
      <w:pPr>
        <w:pStyle w:val="BodyText"/>
      </w:pPr>
      <w:r>
        <w:t xml:space="preserve">A unique constraint on</w:t>
      </w:r>
      <w:r>
        <w:t xml:space="preserve"> </w:t>
      </w:r>
      <w:r>
        <w:rPr>
          <w:rStyle w:val="VerbatimChar"/>
        </w:rPr>
        <w:t xml:space="preserve">(labId, offeringId, slotDatetime)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t xml:space="preserve">is the database level backstop for FR26 (slot clash prevention). The application check in §7 is the primary defense, but the constraint guarantees correctness even under concurrent requests.</w:t>
      </w:r>
    </w:p>
    <w:p>
      <w:r>
        <w:pict>
          <v:rect style="width:0;height:1.5pt" o:hralign="center" o:hrstd="t" o:hr="t"/>
        </w:pict>
      </w:r>
    </w:p>
    <w:bookmarkEnd w:id="34"/>
    <w:bookmarkStart w:id="35" w:name="ui-wireframes-low-fidelity"/>
    <w:p>
      <w:pPr>
        <w:pStyle w:val="Heading2"/>
      </w:pPr>
      <w:r>
        <w:t xml:space="preserve">9. UI Wireframes (low fidelity)</w:t>
      </w:r>
    </w:p>
    <w:p>
      <w:pPr>
        <w:pStyle w:val="FirstParagraph"/>
      </w:pPr>
      <w:r>
        <w:rPr>
          <w:b/>
          <w:bCs/>
        </w:rPr>
        <w:t xml:space="preserve">Patient: Search and Compare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Search: [ Lipid Panel            ] [Search]  │</w:t>
      </w:r>
      <w:r>
        <w:br/>
      </w:r>
      <w:r>
        <w:rPr>
          <w:rStyle w:val="VerbatimChar"/>
        </w:rPr>
        <w:t xml:space="preserve">│ Filter: Price ▾   Location ▾   Turnaround ▾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CityLab Diagnostics   GHS 80   Osu   24h  [Book] │</w:t>
      </w:r>
      <w:r>
        <w:br/>
      </w:r>
      <w:r>
        <w:rPr>
          <w:rStyle w:val="VerbatimChar"/>
        </w:rPr>
        <w:t xml:space="preserve">│ QuickTest Labs        GHS 65   Tema  48h  [Book] │</w:t>
      </w:r>
      <w:r>
        <w:br/>
      </w:r>
      <w:r>
        <w:rPr>
          <w:rStyle w:val="VerbatimChar"/>
        </w:rPr>
        <w:t xml:space="preserve">│ MedCheck Labs         GHS 95   Osu   12h  [Book]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Patient: Booking Confirmation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CityLab Diagnostics, Lipid Panel, GHS 80     │</w:t>
      </w:r>
      <w:r>
        <w:br/>
      </w:r>
      <w:r>
        <w:rPr>
          <w:rStyle w:val="VerbatimChar"/>
        </w:rPr>
        <w:t xml:space="preserve">│ Prep: Fast 12 hours before sample collection │</w:t>
      </w:r>
      <w:r>
        <w:br/>
      </w:r>
      <w:r>
        <w:rPr>
          <w:rStyle w:val="VerbatimChar"/>
        </w:rPr>
        <w:t xml:space="preserve">│ Slot: [ Tue 18 Aug, 9:00 AM ▾ ]              │</w:t>
      </w:r>
      <w:r>
        <w:br/>
      </w:r>
      <w:r>
        <w:rPr>
          <w:rStyle w:val="VerbatimChar"/>
        </w:rPr>
        <w:t xml:space="preserve">│                          [Confirm Booking]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Lab Staff: Queue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Today's Queue: CityLab Diagnostics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9:00  J. Owusu   Lipid Panel   [Mark Collected] │</w:t>
      </w:r>
      <w:r>
        <w:br/>
      </w:r>
      <w:r>
        <w:rPr>
          <w:rStyle w:val="VerbatimChar"/>
        </w:rPr>
        <w:t xml:space="preserve">│ 9:30  A. Mensah  CBC           Sample Collected │</w:t>
      </w:r>
      <w:r>
        <w:br/>
      </w:r>
      <w:r>
        <w:rPr>
          <w:rStyle w:val="VerbatimChar"/>
        </w:rPr>
        <w:t xml:space="preserve">│ 10:00 K. Boateng Lipid Panel   In Progress → [Complete]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Lab Admin: Test Offerings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CityLab Diagnostics: Test Offerings [+ Add]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Lipid Panel   GHS 80   24h   Active  [Edit]  │</w:t>
      </w:r>
      <w:r>
        <w:br/>
      </w:r>
      <w:r>
        <w:rPr>
          <w:rStyle w:val="VerbatimChar"/>
        </w:rPr>
        <w:t xml:space="preserve">│ CBC           GHS 45   12h   Active  [Edit]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Platform Admin: Pending Lab Approvals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Pending Lab Registrations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MedCheck Labs, Osu   [View] [Approve] [Reject]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traceability-to-requirements"/>
    <w:p>
      <w:pPr>
        <w:pStyle w:val="Heading2"/>
      </w:pPr>
      <w:r>
        <w:t xml:space="preserve">10. Traceability to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Primary FRs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(§3)</w:t>
            </w:r>
          </w:p>
        </w:tc>
        <w:tc>
          <w:tcPr/>
          <w:p>
            <w:pPr>
              <w:pStyle w:val="Compact"/>
            </w:pPr>
            <w:r>
              <w:t xml:space="preserve">NFR2, NFR7, NFR9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 (§4)</w:t>
            </w:r>
          </w:p>
        </w:tc>
        <w:tc>
          <w:tcPr/>
          <w:p>
            <w:pPr>
              <w:pStyle w:val="Compact"/>
            </w:pPr>
            <w:r>
              <w:t xml:space="preserve">FR1–FR25, excluding FR23 (removed, see</w:t>
            </w:r>
            <w:r>
              <w:t xml:space="preserve"> </w:t>
            </w:r>
            <w:r>
              <w:rPr>
                <w:rStyle w:val="VerbatimChar"/>
              </w:rPr>
              <w:t xml:space="preserve">SRS.md</w:t>
            </w:r>
            <w:r>
              <w:t xml:space="preserve"> </w:t>
            </w:r>
            <w:r>
              <w:t xml:space="preserve">§5 change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(§5) / ER (§8)</w:t>
            </w:r>
          </w:p>
        </w:tc>
        <w:tc>
          <w:tcPr/>
          <w:p>
            <w:pPr>
              <w:pStyle w:val="Compact"/>
            </w:pPr>
            <w:r>
              <w:t xml:space="preserve">Entities underlying every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Sequence, onboarding (§6)</w:t>
            </w:r>
          </w:p>
        </w:tc>
        <w:tc>
          <w:tcPr/>
          <w:p>
            <w:pPr>
              <w:pStyle w:val="Compact"/>
            </w:pPr>
            <w:r>
              <w:t xml:space="preserve">FR17, FR22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Sequence, booking (§7)</w:t>
            </w:r>
          </w:p>
        </w:tc>
        <w:tc>
          <w:tcPr/>
          <w:p>
            <w:pPr>
              <w:pStyle w:val="Compact"/>
            </w:pPr>
            <w:r>
              <w:t xml:space="preserve">FR3, FR4, FR7, FR8, FR13–FR15, FR26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Wireframes (§9)</w:t>
            </w:r>
          </w:p>
        </w:tc>
        <w:tc>
          <w:tcPr/>
          <w:p>
            <w:pPr>
              <w:pStyle w:val="Compact"/>
            </w:pPr>
            <w:r>
              <w:t xml:space="preserve">FR3–FR9, FR13, FR20, FR22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2026-08-13T21:53:39Z</dcterms:created>
  <dcterms:modified xsi:type="dcterms:W3CDTF">2026-08-13T21:53:39Z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