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bstract-and-conclusion"/>
    <w:p>
      <w:pPr>
        <w:pStyle w:val="1"/>
      </w:pPr>
      <w:r>
        <w:t xml:space="preserve">Abstract and Conclusion</w:t>
      </w:r>
    </w:p>
    <w:p>
      <w:r>
        <w:pict>
          <v:rect style="width:0;height:1.5pt" o:hralign="center" o:hrstd="t" o:hr="t"/>
        </w:pict>
      </w:r>
    </w:p>
    <w:bookmarkStart w:id="9" w:name="abstract"/>
    <w:p>
      <w:pPr>
        <w:pStyle w:val="2"/>
      </w:pPr>
      <w:r>
        <w:t xml:space="preserve">Abstract</w:t>
      </w:r>
    </w:p>
    <w:p>
      <w:pPr>
        <w:pStyle w:val="FirstParagraph"/>
      </w:pPr>
      <w:r>
        <w:t xml:space="preserve">E-commerce customer service is increasingly adopting AI agent systems, but it remains unclear whether more complex agent designs generate sufficient marginal benefits to justify their additional costs. This study compares four Agentic AI design patterns — Single-Slot, ReAct, Reflection, and Plan-and-Execute — in an e-commerce customer service simulation. Using 150 in-sample (IS) cases and 50 out-of-sample (OOS) cases evaluated across three customer Personas (Polite, Adversarial, VIP), we conduct 2,400 evaluation conversations and assess each architecture on response quality, tool use, execution trajectory, efficiency, and cost-benefit performance. Results show that Plan-and-Execute achieves both the highest composite quality score and the lowest cost, producing positive marginal benefit (ΔMB) in both IS and OOS settings — the only architecture to do so. ReAct and Reflection both produce negative ΔMB, as their added complexity cannot be fully used within the capability range of llama3.1:8b. An OOS paradox is also observed: Plan-and-Execute’s valid termination rate and Judge score diverge sharply under distribution shift, revealing that rule-based proxy metrics can decouple from semantic quality when the tool set hits its coverage limit. These findings suggest that architecture complexity alone does not guarantee service improvement, and that ΔMB — rather than single-metric evaluation — should guide architecture selection. For e-commerce platforms, Plan-and-Execute is recommended for mature intent coverage settings, while Single-Slot provides more stable cost protection in cold-start contexts.</w:t>
      </w:r>
    </w:p>
    <w:p>
      <w:r>
        <w:pict>
          <v:rect style="width:0;height:1.5pt" o:hralign="center" o:hrstd="t" o:hr="t"/>
        </w:pict>
      </w:r>
    </w:p>
    <w:bookmarkEnd w:id="9"/>
    <w:bookmarkStart w:id="10" w:name="conclusion"/>
    <w:p>
      <w:pPr>
        <w:pStyle w:val="2"/>
      </w:pPr>
      <w:r>
        <w:t xml:space="preserve">5. Conclusion</w:t>
      </w:r>
    </w:p>
    <w:p>
      <w:pPr>
        <w:pStyle w:val="FirstParagraph"/>
      </w:pPr>
      <w:r>
        <w:t xml:space="preserve">This study evaluates four Agentic AI design patterns for e-commerce customer service using a multi-dimensional framework that covers quality, process, efficiency, safety, and cost-benefit performance. The central finding is that Plan-and-Execute achieves double dominance: it has both the highest quality score (S_Agent) and the lowest cost (ProxyCost) among all four architectures, resulting in positive marginal benefit (ΔMB) in both in-sample and out-of-sample settings. This advantage holds across all valid metric weight combinations, showing that the conclusion does not depend on any specific evaluation design choice.</w:t>
      </w:r>
    </w:p>
    <w:p>
      <w:pPr>
        <w:pStyle w:val="a0"/>
      </w:pPr>
      <w:r>
        <w:t xml:space="preserve">ReAct and Reflection both show negative ΔMB, indicating that more complex pipelines do not always justify their added costs when the underlying model has limited capability. ReAct’s tool call format is unstable under accumulated context, and Reflection’s self-correction step does not produce quality gains proportional to its token cost. The OOS results reveal a further finding: when the tool set cannot cover new intents, rule-based termination metrics and semantic quality metrics decouple, producing false signals of success. This points to a broader limitation of proxy metrics in LLM Agent evaluation and suggests that benchmark designs should include OOS probes to test where proxy metrics stop being valid.</w:t>
      </w:r>
    </w:p>
    <w:p>
      <w:pPr>
        <w:pStyle w:val="a0"/>
      </w:pPr>
      <w:r>
        <w:t xml:space="preserve">Based on these findings, this study recommends using ΔMB as the primary metric for architecture selection. Mature e-commerce platforms with good intent coverage should use Plan-and-Execute as the default architecture. Cold-start or uncertain-coverage situations are better served by Single-Slot, which provides predictable stopping behavior and avoids loop failures under unknown intents. Two important limitations apply: the conclusions are closely tied to the capability of llama3.1:8b, and the OOS evaluation is based on 50 cases, which limits statistical power at the intent level. Future work should repeat this evaluation with more capable models and test whether the double-dominance advantage of Plan-and-Execute holds under different capability conditions.</w:t>
      </w:r>
    </w:p>
    <w:bookmarkEnd w:id="10"/>
    <w:bookmarkEnd w:id="11"/>
    <w:sectPr w:rsidR="007C122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77E516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92473905"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7C122F"/>
    <w:rsid w:val="000B7C9C"/>
    <w:rsid w:val="007C122F"/>
    <w:rsid w:val="00A13923"/>
    <w:rsid w:val="00AE26A8"/>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標題 字元"/>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標題 字元"/>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標題 1 字元"/>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標題 2 字元"/>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標題 3 字元"/>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標題 4 字元"/>
    <w:basedOn w:val="a1"/>
    <w:link w:val="4"/>
    <w:uiPriority w:val="9"/>
    <w:semiHidden/>
    <w:rsid w:val="00A10FD9"/>
    <w:rPr>
      <w:rFonts w:cstheme="majorBidi" w:eastAsiaTheme="majorEastAsia"/>
      <w:i/>
      <w:iCs/>
      <w:color w:themeColor="accent1" w:themeShade="BF" w:val="0F4761"/>
    </w:rPr>
  </w:style>
  <w:style w:customStyle="1" w:styleId="50" w:type="character">
    <w:name w:val="標題 5 字元"/>
    <w:basedOn w:val="a1"/>
    <w:link w:val="5"/>
    <w:uiPriority w:val="9"/>
    <w:semiHidden/>
    <w:rsid w:val="00A10FD9"/>
    <w:rPr>
      <w:rFonts w:cstheme="majorBidi" w:eastAsiaTheme="majorEastAsia"/>
      <w:color w:themeColor="accent1" w:themeShade="BF" w:val="0F4761"/>
    </w:rPr>
  </w:style>
  <w:style w:customStyle="1" w:styleId="60" w:type="character">
    <w:name w:val="標題 6 字元"/>
    <w:basedOn w:val="a1"/>
    <w:link w:val="6"/>
    <w:uiPriority w:val="9"/>
    <w:semiHidden/>
    <w:rsid w:val="00A10FD9"/>
    <w:rPr>
      <w:rFonts w:cstheme="majorBidi" w:eastAsiaTheme="majorEastAsia"/>
      <w:i/>
      <w:iCs/>
      <w:color w:themeColor="text1" w:themeTint="A6" w:val="595959"/>
    </w:rPr>
  </w:style>
  <w:style w:customStyle="1" w:styleId="70" w:type="character">
    <w:name w:val="標題 7 字元"/>
    <w:basedOn w:val="a1"/>
    <w:link w:val="7"/>
    <w:uiPriority w:val="9"/>
    <w:semiHidden/>
    <w:rsid w:val="00A10FD9"/>
    <w:rPr>
      <w:rFonts w:cstheme="majorBidi" w:eastAsiaTheme="majorEastAsia"/>
      <w:color w:themeColor="text1" w:themeTint="A6" w:val="595959"/>
    </w:rPr>
  </w:style>
  <w:style w:customStyle="1" w:styleId="80" w:type="character">
    <w:name w:val="標題 8 字元"/>
    <w:basedOn w:val="a1"/>
    <w:link w:val="8"/>
    <w:uiPriority w:val="9"/>
    <w:semiHidden/>
    <w:rsid w:val="00A10FD9"/>
    <w:rPr>
      <w:rFonts w:cstheme="majorBidi" w:eastAsiaTheme="majorEastAsia"/>
      <w:i/>
      <w:iCs/>
      <w:color w:themeColor="text1" w:themeTint="D8" w:val="272727"/>
    </w:rPr>
  </w:style>
  <w:style w:customStyle="1" w:styleId="90" w:type="character">
    <w:name w:val="標題 9 字元"/>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標號 字元"/>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af0" w:type="paragraph">
    <w:name w:val="TOC Heading"/>
    <w:basedOn w:val="1"/>
    <w:next w:val="a0"/>
    <w:uiPriority w:val="39"/>
    <w:unhideWhenUsed/>
    <w:qFormat/>
    <w:pPr>
      <w:spacing w:before="240" w:line="259" w:lineRule="auto"/>
      <w:outlineLvl w:val="9"/>
    </w:p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2026-05-31T14:11:17Z</dcterms:created>
  <dcterms:modified xsi:type="dcterms:W3CDTF">2026-05-31T14:11:17Z</dcterms:modified>
</cp:coreProperties>
</file>

<file path=docProps/custom.xml><?xml version="1.0" encoding="utf-8"?>
<Properties xmlns="http://schemas.openxmlformats.org/officeDocument/2006/custom-properties" xmlns:vt="http://schemas.openxmlformats.org/officeDocument/2006/docPropsVTypes"/>
</file>