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cbc2ce852691215a9a01df394aba286d35e0cc3"/>
    <w:p>
      <w:pPr>
        <w:pStyle w:val="1"/>
      </w:pPr>
      <w:r>
        <w:t xml:space="preserve">Evaluating LLM Agent Architectures for E-Commerce Customer Service: A Simulation-Based Benchmark</w:t>
      </w:r>
    </w:p>
    <w:p>
      <w:r>
        <w:pict>
          <v:rect style="width:0;height:1.5pt" o:hralign="center" o:hrstd="t" o:hr="t"/>
        </w:pict>
      </w:r>
    </w:p>
    <w:bookmarkStart w:id="13" w:name="results"/>
    <w:p>
      <w:pPr>
        <w:pStyle w:val="2"/>
      </w:pPr>
      <w:r>
        <w:t xml:space="preserve">4. Results</w:t>
      </w:r>
    </w:p>
    <w:bookmarkStart w:id="9" w:name="in-sample-評估結果1800-場對話"/>
    <w:p>
      <w:pPr>
        <w:pStyle w:val="3"/>
      </w:pPr>
      <w:r>
        <w:t xml:space="preserve">4.1 In-Sample </w:t>
      </w:r>
      <w:r>
        <w:rPr>
          <w:rFonts w:hint="eastAsia"/>
        </w:rPr>
        <w:t xml:space="preserve">評估結果（1,800</w:t>
      </w:r>
      <w:r>
        <w:t xml:space="preserve"> </w:t>
      </w:r>
      <w:r>
        <w:rPr>
          <w:rFonts w:hint="eastAsia"/>
        </w:rPr>
        <w:t xml:space="preserve">場對話）</w:t>
      </w:r>
    </w:p>
    <w:p>
      <w:pPr>
        <w:pStyle w:val="FirstParagraph"/>
      </w:pPr>
      <w:r>
        <w:rPr>
          <w:b/>
          <w:bCs/>
        </w:rPr>
        <w:t xml:space="preserve">Table 1. In-Sample </w:t>
      </w:r>
      <w:r>
        <w:rPr>
          <w:rFonts w:hint="eastAsia"/>
          <w:b/>
          <w:bCs/>
        </w:rPr>
        <w:t xml:space="preserve">各架構表現（三</w:t>
      </w:r>
      <w:r>
        <w:rPr>
          <w:b/>
          <w:bCs/>
        </w:rPr>
        <w:t xml:space="preserve"> Persona </w:t>
      </w:r>
      <w:r>
        <w:rPr>
          <w:rFonts w:hint="eastAsia"/>
          <w:b/>
          <w:bCs/>
        </w:rPr>
        <w:t xml:space="preserve">均值）</w:t>
      </w:r>
    </w:p>
    <w:tbl>
      <w:tblPr>
        <w:tblStyle w:val="Table"/>
        <w:tblW w:type="pct" w:w="5000"/>
        <w:tblLayout w:type="fixed"/>
        <w:tblLook w:firstRow="1" w:lastRow="0" w:firstColumn="0" w:lastColumn="0" w:noHBand="0" w:noVBand="0" w:val="0020"/>
      </w:tblPr>
      <w:tblGrid>
        <w:gridCol w:w="660"/>
        <w:gridCol w:w="880"/>
        <w:gridCol w:w="1210"/>
        <w:gridCol w:w="880"/>
        <w:gridCol w:w="880"/>
        <w:gridCol w:w="770"/>
        <w:gridCol w:w="1430"/>
        <w:gridCol w:w="1210"/>
      </w:tblGrid>
      <w:tr>
        <w:trPr>
          <w:tblHeader w:val="on"/>
        </w:trPr>
        <w:tc>
          <w:tcPr/>
          <w:p>
            <w:pPr>
              <w:pStyle w:val="Compact"/>
            </w:pPr>
            <w:r>
              <w:rPr>
                <w:rFonts w:hint="eastAsia"/>
              </w:rPr>
              <w:t xml:space="preserve">架構</w:t>
            </w:r>
          </w:p>
        </w:tc>
        <w:tc>
          <w:tcPr/>
          <w:p>
            <w:pPr>
              <w:pStyle w:val="Compact"/>
            </w:pPr>
            <w:r>
              <w:rPr>
                <w:rFonts w:hint="eastAsia"/>
              </w:rPr>
              <w:t xml:space="preserve">有效終止率</w:t>
            </w:r>
          </w:p>
        </w:tc>
        <w:tc>
          <w:tcPr/>
          <w:p>
            <w:pPr>
              <w:pStyle w:val="Compact"/>
            </w:pPr>
            <w:r>
              <w:t xml:space="preserve">S_Outcome</w:t>
            </w:r>
          </w:p>
        </w:tc>
        <w:tc>
          <w:tcPr/>
          <w:p>
            <w:pPr>
              <w:pStyle w:val="Compact"/>
            </w:pPr>
            <w:r>
              <w:t xml:space="preserve">S_Tool</w:t>
            </w:r>
          </w:p>
        </w:tc>
        <w:tc>
          <w:tcPr/>
          <w:p>
            <w:pPr>
              <w:pStyle w:val="Compact"/>
            </w:pPr>
            <w:r>
              <w:t xml:space="preserve">S_Traj</w:t>
            </w:r>
          </w:p>
        </w:tc>
        <w:tc>
          <w:tcPr/>
          <w:p>
            <w:pPr>
              <w:pStyle w:val="Compact"/>
            </w:pPr>
            <w:r>
              <w:t xml:space="preserve">S_Eff</w:t>
            </w:r>
          </w:p>
        </w:tc>
        <w:tc>
          <w:tcPr/>
          <w:p>
            <w:pPr>
              <w:pStyle w:val="Compact"/>
            </w:pPr>
            <w:r>
              <w:rPr>
                <w:b/>
                <w:bCs/>
              </w:rPr>
              <w:t xml:space="preserve">S_Agent</w:t>
            </w:r>
          </w:p>
        </w:tc>
        <w:tc>
          <w:tcPr/>
          <w:p>
            <w:pPr>
              <w:pStyle w:val="Compact"/>
            </w:pPr>
            <w:r>
              <w:t xml:space="preserve">Judge </w:t>
            </w:r>
            <w:r>
              <w:rPr>
                <w:rFonts w:hint="eastAsia"/>
              </w:rPr>
              <w:t xml:space="preserve">均分</w:t>
            </w:r>
          </w:p>
        </w:tc>
      </w:tr>
      <w:tr>
        <w:tc>
          <w:tcPr/>
          <w:p>
            <w:pPr>
              <w:pStyle w:val="Compact"/>
            </w:pPr>
            <w:r>
              <w:rPr>
                <w:b/>
                <w:bCs/>
              </w:rPr>
              <w:t xml:space="preserve">PlanExecute</w:t>
            </w:r>
          </w:p>
        </w:tc>
        <w:tc>
          <w:tcPr/>
          <w:p>
            <w:pPr>
              <w:pStyle w:val="Compact"/>
            </w:pPr>
            <w:r>
              <w:t xml:space="preserve">98.2%</w:t>
            </w:r>
          </w:p>
        </w:tc>
        <w:tc>
          <w:tcPr/>
          <w:p>
            <w:pPr>
              <w:pStyle w:val="Compact"/>
            </w:pPr>
            <w:r>
              <w:t xml:space="preserve">79.0</w:t>
            </w:r>
          </w:p>
        </w:tc>
        <w:tc>
          <w:tcPr/>
          <w:p>
            <w:pPr>
              <w:pStyle w:val="Compact"/>
            </w:pPr>
            <w:r>
              <w:rPr>
                <w:b/>
                <w:bCs/>
              </w:rPr>
              <w:t xml:space="preserve">72.8</w:t>
            </w:r>
          </w:p>
        </w:tc>
        <w:tc>
          <w:tcPr/>
          <w:p>
            <w:pPr>
              <w:pStyle w:val="Compact"/>
            </w:pPr>
            <w:r>
              <w:rPr>
                <w:b/>
                <w:bCs/>
              </w:rPr>
              <w:t xml:space="preserve">99.4</w:t>
            </w:r>
          </w:p>
        </w:tc>
        <w:tc>
          <w:tcPr/>
          <w:p>
            <w:pPr>
              <w:pStyle w:val="Compact"/>
            </w:pPr>
            <w:r>
              <w:t xml:space="preserve">97.0</w:t>
            </w:r>
          </w:p>
        </w:tc>
        <w:tc>
          <w:tcPr/>
          <w:p>
            <w:pPr>
              <w:pStyle w:val="Compact"/>
            </w:pPr>
            <w:r>
              <w:rPr>
                <w:b/>
                <w:bCs/>
              </w:rPr>
              <w:t xml:space="preserve">83.07</w:t>
            </w:r>
          </w:p>
        </w:tc>
        <w:tc>
          <w:tcPr/>
          <w:p>
            <w:pPr>
              <w:pStyle w:val="Compact"/>
            </w:pPr>
            <w:r>
              <w:t xml:space="preserve">64.2</w:t>
            </w:r>
          </w:p>
        </w:tc>
      </w:tr>
      <w:tr>
        <w:tc>
          <w:tcPr/>
          <w:p>
            <w:pPr>
              <w:pStyle w:val="Compact"/>
            </w:pPr>
            <w:r>
              <w:t xml:space="preserve">Single-slot</w:t>
            </w:r>
          </w:p>
        </w:tc>
        <w:tc>
          <w:tcPr/>
          <w:p>
            <w:pPr>
              <w:pStyle w:val="Compact"/>
            </w:pPr>
            <w:r>
              <w:t xml:space="preserve">59.5%</w:t>
            </w:r>
          </w:p>
        </w:tc>
        <w:tc>
          <w:tcPr/>
          <w:p>
            <w:pPr>
              <w:pStyle w:val="Compact"/>
            </w:pPr>
            <w:r>
              <w:t xml:space="preserve">74.4</w:t>
            </w:r>
          </w:p>
        </w:tc>
        <w:tc>
          <w:tcPr/>
          <w:p>
            <w:pPr>
              <w:pStyle w:val="Compact"/>
            </w:pPr>
            <w:r>
              <w:t xml:space="preserve">71.7</w:t>
            </w:r>
          </w:p>
        </w:tc>
        <w:tc>
          <w:tcPr/>
          <w:p>
            <w:pPr>
              <w:pStyle w:val="Compact"/>
            </w:pPr>
            <w:r>
              <w:rPr>
                <w:b/>
                <w:bCs/>
              </w:rPr>
              <w:t xml:space="preserve">99.9</w:t>
            </w:r>
          </w:p>
        </w:tc>
        <w:tc>
          <w:tcPr/>
          <w:p>
            <w:pPr>
              <w:pStyle w:val="Compact"/>
            </w:pPr>
            <w:r>
              <w:t xml:space="preserve">85.2</w:t>
            </w:r>
          </w:p>
        </w:tc>
        <w:tc>
          <w:tcPr/>
          <w:p>
            <w:pPr>
              <w:pStyle w:val="Compact"/>
            </w:pPr>
            <w:r>
              <w:t xml:space="preserve">78.53</w:t>
            </w:r>
          </w:p>
        </w:tc>
        <w:tc>
          <w:tcPr/>
          <w:p>
            <w:pPr>
              <w:pStyle w:val="Compact"/>
            </w:pPr>
            <w:r>
              <w:t xml:space="preserve">57.4</w:t>
            </w:r>
          </w:p>
        </w:tc>
      </w:tr>
      <w:tr>
        <w:tc>
          <w:tcPr/>
          <w:p>
            <w:pPr>
              <w:pStyle w:val="Compact"/>
            </w:pPr>
            <w:r>
              <w:t xml:space="preserve">ReAct</w:t>
            </w:r>
          </w:p>
        </w:tc>
        <w:tc>
          <w:tcPr/>
          <w:p>
            <w:pPr>
              <w:pStyle w:val="Compact"/>
            </w:pPr>
            <w:r>
              <w:rPr>
                <w:b/>
                <w:bCs/>
              </w:rPr>
              <w:t xml:space="preserve">99.1%</w:t>
            </w:r>
          </w:p>
        </w:tc>
        <w:tc>
          <w:tcPr/>
          <w:p>
            <w:pPr>
              <w:pStyle w:val="Compact"/>
            </w:pPr>
            <w:r>
              <w:rPr>
                <w:b/>
                <w:bCs/>
              </w:rPr>
              <w:t xml:space="preserve">81.8</w:t>
            </w:r>
          </w:p>
        </w:tc>
        <w:tc>
          <w:tcPr/>
          <w:p>
            <w:pPr>
              <w:pStyle w:val="Compact"/>
            </w:pPr>
            <w:r>
              <w:t xml:space="preserve">47.7</w:t>
            </w:r>
          </w:p>
        </w:tc>
        <w:tc>
          <w:tcPr/>
          <w:p>
            <w:pPr>
              <w:pStyle w:val="Compact"/>
            </w:pPr>
            <w:r>
              <w:t xml:space="preserve">63.1</w:t>
            </w:r>
          </w:p>
        </w:tc>
        <w:tc>
          <w:tcPr/>
          <w:p>
            <w:pPr>
              <w:pStyle w:val="Compact"/>
            </w:pPr>
            <w:r>
              <w:rPr>
                <w:b/>
                <w:bCs/>
              </w:rPr>
              <w:t xml:space="preserve">98.0</w:t>
            </w:r>
          </w:p>
        </w:tc>
        <w:tc>
          <w:tcPr/>
          <w:p>
            <w:pPr>
              <w:pStyle w:val="Compact"/>
            </w:pPr>
            <w:r>
              <w:t xml:space="preserve">76.37</w:t>
            </w:r>
          </w:p>
        </w:tc>
        <w:tc>
          <w:tcPr/>
          <w:p>
            <w:pPr>
              <w:pStyle w:val="Compact"/>
            </w:pPr>
            <w:r>
              <w:rPr>
                <w:b/>
                <w:bCs/>
              </w:rPr>
              <w:t xml:space="preserve">69.8</w:t>
            </w:r>
          </w:p>
        </w:tc>
      </w:tr>
      <w:tr>
        <w:tc>
          <w:tcPr/>
          <w:p>
            <w:pPr>
              <w:pStyle w:val="Compact"/>
            </w:pPr>
            <w:r>
              <w:t xml:space="preserve">Reflection</w:t>
            </w:r>
          </w:p>
        </w:tc>
        <w:tc>
          <w:tcPr/>
          <w:p>
            <w:pPr>
              <w:pStyle w:val="Compact"/>
            </w:pPr>
            <w:r>
              <w:t xml:space="preserve">65.4%</w:t>
            </w:r>
          </w:p>
        </w:tc>
        <w:tc>
          <w:tcPr/>
          <w:p>
            <w:pPr>
              <w:pStyle w:val="Compact"/>
            </w:pPr>
            <w:r>
              <w:t xml:space="preserve">75.2</w:t>
            </w:r>
          </w:p>
        </w:tc>
        <w:tc>
          <w:tcPr/>
          <w:p>
            <w:pPr>
              <w:pStyle w:val="Compact"/>
            </w:pPr>
            <w:r>
              <w:t xml:space="preserve">67.8</w:t>
            </w:r>
          </w:p>
        </w:tc>
        <w:tc>
          <w:tcPr/>
          <w:p>
            <w:pPr>
              <w:pStyle w:val="Compact"/>
            </w:pPr>
            <w:r>
              <w:rPr>
                <w:b/>
                <w:bCs/>
              </w:rPr>
              <w:t xml:space="preserve">100.0</w:t>
            </w:r>
          </w:p>
        </w:tc>
        <w:tc>
          <w:tcPr/>
          <w:p>
            <w:pPr>
              <w:pStyle w:val="Compact"/>
            </w:pPr>
            <w:r>
              <w:t xml:space="preserve">23.6</w:t>
            </w:r>
          </w:p>
        </w:tc>
        <w:tc>
          <w:tcPr/>
          <w:p>
            <w:pPr>
              <w:pStyle w:val="Compact"/>
            </w:pPr>
            <w:r>
              <w:t xml:space="preserve">65.80</w:t>
            </w:r>
          </w:p>
        </w:tc>
        <w:tc>
          <w:tcPr/>
          <w:p>
            <w:pPr>
              <w:pStyle w:val="Compact"/>
            </w:pPr>
            <w:r>
              <w:t xml:space="preserve">60.7</w:t>
            </w:r>
          </w:p>
        </w:tc>
      </w:tr>
    </w:tbl>
    <w:p>
      <w:pPr>
        <w:pStyle w:val="a0"/>
      </w:pPr>
      <w:r>
        <w:t xml:space="preserve">PlanExecute </w:t>
      </w:r>
      <w:r>
        <w:rPr>
          <w:rFonts w:hint="eastAsia"/>
        </w:rPr>
        <w:t xml:space="preserve">以</w:t>
      </w:r>
      <w:r>
        <w:t xml:space="preserve"> S_Agent=83.07 </w:t>
      </w:r>
      <w:r>
        <w:rPr>
          <w:rFonts w:hint="eastAsia"/>
        </w:rPr>
        <w:t xml:space="preserve">最為突出，勝出原因是各維度均衡表現而非單一項目突出，ReAct</w:t>
      </w:r>
      <w:r>
        <w:t xml:space="preserve"> </w:t>
      </w:r>
      <w:r>
        <w:rPr>
          <w:rFonts w:hint="eastAsia"/>
        </w:rPr>
        <w:t xml:space="preserve">雖</w:t>
      </w:r>
      <w:r>
        <w:t xml:space="preserve"> S_Outcome </w:t>
      </w:r>
      <w:r>
        <w:rPr>
          <w:rFonts w:hint="eastAsia"/>
        </w:rPr>
        <w:t xml:space="preserve">最高（81.8），但</w:t>
      </w:r>
      <w:r>
        <w:t xml:space="preserve"> S_Tool </w:t>
      </w:r>
      <w:r>
        <w:rPr>
          <w:rFonts w:hint="eastAsia"/>
        </w:rPr>
        <w:t xml:space="preserve">僅</w:t>
      </w:r>
      <w:r>
        <w:t xml:space="preserve"> 47.7、S_Traj 63.1 </w:t>
      </w:r>
      <w:r>
        <w:rPr>
          <w:rFonts w:hint="eastAsia"/>
        </w:rPr>
        <w:t xml:space="preserve">拉低整體。Reflection</w:t>
      </w:r>
      <w:r>
        <w:t xml:space="preserve"> </w:t>
      </w:r>
      <w:r>
        <w:rPr>
          <w:rFonts w:hint="eastAsia"/>
        </w:rPr>
        <w:t xml:space="preserve">的</w:t>
      </w:r>
      <w:r>
        <w:t xml:space="preserve"> S_Efficiency </w:t>
      </w:r>
      <w:r>
        <w:rPr>
          <w:rFonts w:hint="eastAsia"/>
        </w:rPr>
        <w:t xml:space="preserve">僅</w:t>
      </w:r>
      <w:r>
        <w:t xml:space="preserve"> 23.6 </w:t>
      </w:r>
      <w:r>
        <w:rPr>
          <w:rFonts w:hint="eastAsia"/>
        </w:rPr>
        <w:t xml:space="preserve">反映</w:t>
      </w:r>
      <w:r>
        <w:t xml:space="preserve"> token </w:t>
      </w:r>
      <w:r>
        <w:rPr>
          <w:rFonts w:hint="eastAsia"/>
        </w:rPr>
        <w:t xml:space="preserve">暴增的嚴重效率懲罰（token</w:t>
      </w:r>
      <w:r>
        <w:t xml:space="preserve"> </w:t>
      </w:r>
      <w:r>
        <w:rPr>
          <w:rFonts w:hint="eastAsia"/>
        </w:rPr>
        <w:t xml:space="preserve">均值</w:t>
      </w:r>
      <w:r>
        <w:t xml:space="preserve"> </w:t>
      </w:r>
      <w:r>
        <w:rPr>
          <w:rFonts w:hint="eastAsia"/>
        </w:rPr>
        <w:t xml:space="preserve">75,105，是</w:t>
      </w:r>
      <w:r>
        <w:t xml:space="preserve"> PlanExecute </w:t>
      </w:r>
      <w:r>
        <w:rPr>
          <w:rFonts w:hint="eastAsia"/>
        </w:rPr>
        <w:t xml:space="preserve">的</w:t>
      </w:r>
      <w:r>
        <w:t xml:space="preserve"> 4.4 </w:t>
      </w:r>
      <w:r>
        <w:rPr>
          <w:rFonts w:hint="eastAsia"/>
        </w:rPr>
        <w:t xml:space="preserve">倍）。PlanExecute</w:t>
      </w:r>
      <w:r>
        <w:t xml:space="preserve"> </w:t>
      </w:r>
      <w:r>
        <w:rPr>
          <w:rFonts w:hint="eastAsia"/>
        </w:rPr>
        <w:t xml:space="preserve">跨</w:t>
      </w:r>
      <w:r>
        <w:t xml:space="preserve"> Persona S_Agent </w:t>
      </w:r>
      <w:r>
        <w:rPr>
          <w:rFonts w:hint="eastAsia"/>
        </w:rPr>
        <w:t xml:space="preserve">波動幅度最小（1.65</w:t>
      </w:r>
      <w:r>
        <w:t xml:space="preserve"> </w:t>
      </w:r>
      <w:r>
        <w:rPr>
          <w:rFonts w:hint="eastAsia"/>
        </w:rPr>
        <w:t xml:space="preserve">分）。</w:t>
      </w:r>
    </w:p>
    <w:bookmarkEnd w:id="9"/>
    <w:bookmarkStart w:id="10" w:name="out-of-sample-泛化評估600-場對話"/>
    <w:p>
      <w:pPr>
        <w:pStyle w:val="3"/>
      </w:pPr>
      <w:r>
        <w:t xml:space="preserve">4.2 Out-of-Sample </w:t>
      </w:r>
      <w:r>
        <w:rPr>
          <w:rFonts w:hint="eastAsia"/>
        </w:rPr>
        <w:t xml:space="preserve">泛化評估（600</w:t>
      </w:r>
      <w:r>
        <w:t xml:space="preserve"> </w:t>
      </w:r>
      <w:r>
        <w:rPr>
          <w:rFonts w:hint="eastAsia"/>
        </w:rPr>
        <w:t xml:space="preserve">場對話）</w:t>
      </w:r>
    </w:p>
    <w:p>
      <w:pPr>
        <w:pStyle w:val="FirstParagraph"/>
      </w:pPr>
      <w:r>
        <w:t xml:space="preserve">OOS </w:t>
      </w:r>
      <w:r>
        <w:rPr>
          <w:rFonts w:hint="eastAsia"/>
        </w:rPr>
        <w:t xml:space="preserve">資料集含</w:t>
      </w:r>
      <w:r>
        <w:t xml:space="preserve"> 9 </w:t>
      </w:r>
      <w:r>
        <w:rPr>
          <w:rFonts w:hint="eastAsia"/>
        </w:rPr>
        <w:t xml:space="preserve">種領域外新情境（</w:t>
      </w:r>
      <w:r>
        <w:rPr>
          <w:rStyle w:val="VerbatimChar"/>
        </w:rPr>
        <w:t xml:space="preserve">track_return</w:t>
      </w:r>
      <w:r>
        <w:t xml:space="preserve">、</w:t>
      </w:r>
      <w:r>
        <w:rPr>
          <w:rStyle w:val="VerbatimChar"/>
        </w:rPr>
        <w:t xml:space="preserve">missing_item</w:t>
      </w:r>
      <w:r>
        <w:t xml:space="preserve">、</w:t>
      </w:r>
      <w:r>
        <w:rPr>
          <w:rStyle w:val="VerbatimChar"/>
        </w:rPr>
        <w:t xml:space="preserve">fraud_dispute</w:t>
      </w:r>
      <w:r>
        <w:t xml:space="preserve"> </w:t>
      </w:r>
      <w:r>
        <w:rPr>
          <w:rFonts w:hint="eastAsia"/>
        </w:rPr>
        <w:t xml:space="preserve">等），用以測試架構在未見意圖上的通用推理能力。</w:t>
      </w:r>
    </w:p>
    <w:p>
      <w:pPr>
        <w:pStyle w:val="a0"/>
      </w:pPr>
      <w:r>
        <w:rPr>
          <w:b/>
          <w:bCs/>
        </w:rPr>
        <w:t xml:space="preserve">Table 2. OOS </w:t>
      </w:r>
      <w:r>
        <w:rPr>
          <w:rFonts w:hint="eastAsia"/>
          <w:b/>
          <w:bCs/>
        </w:rPr>
        <w:t xml:space="preserve">各架構表現與泛化跌幅</w:t>
      </w:r>
    </w:p>
    <w:tbl>
      <w:tblPr>
        <w:tblStyle w:val="Table"/>
        <w:tblW w:type="pct" w:w="5000"/>
        <w:tblLayout w:type="fixed"/>
        <w:tblLook w:firstRow="1" w:lastRow="0" w:firstColumn="0" w:lastColumn="0" w:noHBand="0" w:noVBand="0" w:val="0020"/>
      </w:tblPr>
      <w:tblGrid>
        <w:gridCol w:w="731"/>
        <w:gridCol w:w="1340"/>
        <w:gridCol w:w="1949"/>
        <w:gridCol w:w="1340"/>
        <w:gridCol w:w="2558"/>
      </w:tblGrid>
      <w:tr>
        <w:trPr>
          <w:tblHeader w:val="on"/>
        </w:trPr>
        <w:tc>
          <w:tcPr/>
          <w:p>
            <w:pPr>
              <w:pStyle w:val="Compact"/>
            </w:pPr>
            <w:r>
              <w:rPr>
                <w:rFonts w:hint="eastAsia"/>
              </w:rPr>
              <w:t xml:space="preserve">架構</w:t>
            </w:r>
          </w:p>
        </w:tc>
        <w:tc>
          <w:tcPr/>
          <w:p>
            <w:pPr>
              <w:pStyle w:val="Compact"/>
            </w:pPr>
            <w:r>
              <w:t xml:space="preserve">OOS </w:t>
            </w:r>
            <w:r>
              <w:rPr>
                <w:rFonts w:hint="eastAsia"/>
              </w:rPr>
              <w:t xml:space="preserve">有效終止率</w:t>
            </w:r>
          </w:p>
        </w:tc>
        <w:tc>
          <w:tcPr/>
          <w:p>
            <w:pPr>
              <w:pStyle w:val="Compact"/>
            </w:pPr>
            <w:r>
              <w:rPr>
                <w:b/>
                <w:bCs/>
              </w:rPr>
              <w:t xml:space="preserve">OOS S_Agent</w:t>
            </w:r>
          </w:p>
        </w:tc>
        <w:tc>
          <w:tcPr/>
          <w:p>
            <w:pPr>
              <w:pStyle w:val="Compact"/>
            </w:pPr>
            <w:r>
              <w:t xml:space="preserve">OOS Judge</w:t>
            </w:r>
          </w:p>
        </w:tc>
        <w:tc>
          <w:tcPr/>
          <w:p>
            <w:pPr>
              <w:pStyle w:val="Compact"/>
            </w:pPr>
            <w:r>
              <w:t xml:space="preserve">IS→OOS S_Agent </w:t>
            </w:r>
            <w:r>
              <w:rPr>
                <w:rFonts w:hint="eastAsia"/>
              </w:rPr>
              <w:t xml:space="preserve">跌幅</w:t>
            </w:r>
          </w:p>
        </w:tc>
      </w:tr>
      <w:tr>
        <w:tc>
          <w:tcPr/>
          <w:p>
            <w:pPr>
              <w:pStyle w:val="Compact"/>
            </w:pPr>
            <w:r>
              <w:rPr>
                <w:b/>
                <w:bCs/>
              </w:rPr>
              <w:t xml:space="preserve">PlanExecute</w:t>
            </w:r>
          </w:p>
        </w:tc>
        <w:tc>
          <w:tcPr/>
          <w:p>
            <w:pPr>
              <w:pStyle w:val="Compact"/>
            </w:pPr>
            <w:r>
              <w:rPr>
                <w:b/>
                <w:bCs/>
              </w:rPr>
              <w:t xml:space="preserve">96%</w:t>
            </w:r>
          </w:p>
        </w:tc>
        <w:tc>
          <w:tcPr/>
          <w:p>
            <w:pPr>
              <w:pStyle w:val="Compact"/>
            </w:pPr>
            <w:r>
              <w:rPr>
                <w:b/>
                <w:bCs/>
              </w:rPr>
              <w:t xml:space="preserve">73.2</w:t>
            </w:r>
          </w:p>
        </w:tc>
        <w:tc>
          <w:tcPr/>
          <w:p>
            <w:pPr>
              <w:pStyle w:val="Compact"/>
            </w:pPr>
            <w:r>
              <w:t xml:space="preserve">27.3</w:t>
            </w:r>
          </w:p>
        </w:tc>
        <w:tc>
          <w:tcPr/>
          <w:p>
            <w:pPr>
              <w:pStyle w:val="Compact"/>
            </w:pPr>
            <w:r>
              <w:t xml:space="preserve">-9.9</w:t>
            </w:r>
          </w:p>
        </w:tc>
      </w:tr>
      <w:tr>
        <w:tc>
          <w:tcPr/>
          <w:p>
            <w:pPr>
              <w:pStyle w:val="Compact"/>
            </w:pPr>
            <w:r>
              <w:t xml:space="preserve">Single-slot</w:t>
            </w:r>
          </w:p>
        </w:tc>
        <w:tc>
          <w:tcPr/>
          <w:p>
            <w:pPr>
              <w:pStyle w:val="Compact"/>
            </w:pPr>
            <w:r>
              <w:t xml:space="preserve">47%</w:t>
            </w:r>
          </w:p>
        </w:tc>
        <w:tc>
          <w:tcPr/>
          <w:p>
            <w:pPr>
              <w:pStyle w:val="Compact"/>
            </w:pPr>
            <w:r>
              <w:t xml:space="preserve">70.0</w:t>
            </w:r>
          </w:p>
        </w:tc>
        <w:tc>
          <w:tcPr/>
          <w:p>
            <w:pPr>
              <w:pStyle w:val="Compact"/>
            </w:pPr>
            <w:r>
              <w:t xml:space="preserve">30.4</w:t>
            </w:r>
          </w:p>
        </w:tc>
        <w:tc>
          <w:tcPr/>
          <w:p>
            <w:pPr>
              <w:pStyle w:val="Compact"/>
            </w:pPr>
            <w:r>
              <w:t xml:space="preserve">-8.5</w:t>
            </w:r>
          </w:p>
        </w:tc>
      </w:tr>
      <w:tr>
        <w:tc>
          <w:tcPr/>
          <w:p>
            <w:pPr>
              <w:pStyle w:val="Compact"/>
            </w:pPr>
            <w:r>
              <w:t xml:space="preserve">ReAct</w:t>
            </w:r>
          </w:p>
        </w:tc>
        <w:tc>
          <w:tcPr/>
          <w:p>
            <w:pPr>
              <w:pStyle w:val="Compact"/>
            </w:pPr>
            <w:r>
              <w:t xml:space="preserve">76%</w:t>
            </w:r>
          </w:p>
        </w:tc>
        <w:tc>
          <w:tcPr/>
          <w:p>
            <w:pPr>
              <w:pStyle w:val="Compact"/>
            </w:pPr>
            <w:r>
              <w:t xml:space="preserve">65.8</w:t>
            </w:r>
          </w:p>
        </w:tc>
        <w:tc>
          <w:tcPr/>
          <w:p>
            <w:pPr>
              <w:pStyle w:val="Compact"/>
            </w:pPr>
            <w:r>
              <w:rPr>
                <w:b/>
                <w:bCs/>
              </w:rPr>
              <w:t xml:space="preserve">35.3</w:t>
            </w:r>
          </w:p>
        </w:tc>
        <w:tc>
          <w:tcPr/>
          <w:p>
            <w:pPr>
              <w:pStyle w:val="Compact"/>
            </w:pPr>
            <w:r>
              <w:rPr>
                <w:b/>
                <w:bCs/>
              </w:rPr>
              <w:t xml:space="preserve">-10.6</w:t>
            </w:r>
          </w:p>
        </w:tc>
      </w:tr>
      <w:tr>
        <w:tc>
          <w:tcPr/>
          <w:p>
            <w:pPr>
              <w:pStyle w:val="Compact"/>
            </w:pPr>
            <w:r>
              <w:t xml:space="preserve">Reflection</w:t>
            </w:r>
          </w:p>
        </w:tc>
        <w:tc>
          <w:tcPr/>
          <w:p>
            <w:pPr>
              <w:pStyle w:val="Compact"/>
            </w:pPr>
            <w:r>
              <w:t xml:space="preserve">80%</w:t>
            </w:r>
          </w:p>
        </w:tc>
        <w:tc>
          <w:tcPr/>
          <w:p>
            <w:pPr>
              <w:pStyle w:val="Compact"/>
            </w:pPr>
            <w:r>
              <w:t xml:space="preserve">60.8</w:t>
            </w:r>
          </w:p>
        </w:tc>
        <w:tc>
          <w:tcPr/>
          <w:p>
            <w:pPr>
              <w:pStyle w:val="Compact"/>
            </w:pPr>
            <w:r>
              <w:t xml:space="preserve">33.5</w:t>
            </w:r>
          </w:p>
        </w:tc>
        <w:tc>
          <w:tcPr/>
          <w:p>
            <w:pPr>
              <w:pStyle w:val="Compact"/>
            </w:pPr>
            <w:r>
              <w:t xml:space="preserve">-5.0</w:t>
            </w:r>
          </w:p>
        </w:tc>
      </w:tr>
    </w:tbl>
    <w:p>
      <w:pPr>
        <w:pStyle w:val="a0"/>
      </w:pPr>
      <w:r>
        <w:rPr>
          <w:rFonts w:hint="eastAsia"/>
        </w:rPr>
        <w:t xml:space="preserve">整體排名（PE</w:t>
      </w:r>
      <w:r>
        <w:t xml:space="preserve"> &gt; SS &gt; ReAct &gt; </w:t>
      </w:r>
      <w:r>
        <w:rPr>
          <w:rFonts w:hint="eastAsia"/>
        </w:rPr>
        <w:t xml:space="preserve">Ref）在</w:t>
      </w:r>
      <w:r>
        <w:t xml:space="preserve"> OOS </w:t>
      </w:r>
      <w:r>
        <w:rPr>
          <w:rFonts w:hint="eastAsia"/>
        </w:rPr>
        <w:t xml:space="preserve">下維持不變，但</w:t>
      </w:r>
      <w:r>
        <w:t xml:space="preserve"> ReAct </w:t>
      </w:r>
      <w:r>
        <w:rPr>
          <w:rFonts w:hint="eastAsia"/>
        </w:rPr>
        <w:t xml:space="preserve">泛化跌幅最大（-10.6），Polite</w:t>
      </w:r>
      <w:r>
        <w:t xml:space="preserve"> Persona LOOP_FAILURE </w:t>
      </w:r>
      <w:r>
        <w:rPr>
          <w:rFonts w:hint="eastAsia"/>
        </w:rPr>
        <w:t xml:space="preserve">率高達</w:t>
      </w:r>
      <w:r>
        <w:t xml:space="preserve"> </w:t>
      </w:r>
      <w:r>
        <w:rPr>
          <w:rFonts w:hint="eastAsia"/>
        </w:rPr>
        <w:t xml:space="preserve">42%，在分布外意圖下迭代機制無法收斂。Judge</w:t>
      </w:r>
      <w:r>
        <w:t xml:space="preserve"> </w:t>
      </w:r>
      <w:r>
        <w:rPr>
          <w:rFonts w:hint="eastAsia"/>
        </w:rPr>
        <w:t xml:space="preserve">均分全面崩跌至</w:t>
      </w:r>
      <w:r>
        <w:t xml:space="preserve"> 22–38 </w:t>
      </w:r>
      <w:r>
        <w:rPr>
          <w:rFonts w:hint="eastAsia"/>
        </w:rPr>
        <w:t xml:space="preserve">分（IS</w:t>
      </w:r>
      <w:r>
        <w:t xml:space="preserve"> </w:t>
      </w:r>
      <w:r>
        <w:rPr>
          <w:rFonts w:hint="eastAsia"/>
        </w:rPr>
        <w:t xml:space="preserve">各架構均值範圍為</w:t>
      </w:r>
      <w:r>
        <w:t xml:space="preserve"> </w:t>
      </w:r>
      <w:r>
        <w:rPr>
          <w:rFonts w:hint="eastAsia"/>
        </w:rPr>
        <w:t xml:space="preserve">57–70），反映現有工具集對新意圖的覆蓋缺口。PlanExecute</w:t>
      </w:r>
      <w:r>
        <w:t xml:space="preserve"> </w:t>
      </w:r>
      <w:r>
        <w:rPr>
          <w:rFonts w:hint="eastAsia"/>
        </w:rPr>
        <w:t xml:space="preserve">呈現</w:t>
      </w:r>
      <w:r>
        <w:t xml:space="preserve"> OOS </w:t>
      </w:r>
      <w:r>
        <w:rPr>
          <w:rFonts w:hint="eastAsia"/>
        </w:rPr>
        <w:t xml:space="preserve">悖論，有效終止率最高（96%）但</w:t>
      </w:r>
      <w:r>
        <w:t xml:space="preserve"> Judge </w:t>
      </w:r>
      <w:r>
        <w:rPr>
          <w:rFonts w:hint="eastAsia"/>
        </w:rPr>
        <w:t xml:space="preserve">均分最低（27.3），有效終止率以規則判定為完成，但回應品質實際上未達顧客需求。</w:t>
      </w:r>
    </w:p>
    <w:bookmarkEnd w:id="10"/>
    <w:bookmarkStart w:id="11" w:name="成本效益分析"/>
    <w:p>
      <w:pPr>
        <w:pStyle w:val="3"/>
      </w:pPr>
      <w:r>
        <w:t xml:space="preserve">4.3 </w:t>
      </w:r>
      <w:r>
        <w:rPr>
          <w:rFonts w:hint="eastAsia"/>
        </w:rPr>
        <w:t xml:space="preserve">成本效益分析</w:t>
      </w:r>
    </w:p>
    <w:p>
      <w:pPr>
        <w:pStyle w:val="FirstParagraph"/>
      </w:pPr>
      <w:r>
        <w:rPr>
          <w:b/>
          <w:bCs/>
        </w:rPr>
        <w:t xml:space="preserve">Table 3. ProxyCost / NetValue / </w:t>
      </w:r>
      <w:r>
        <w:rPr>
          <w:rFonts w:hint="eastAsia"/>
          <w:b/>
          <w:bCs/>
        </w:rPr>
        <w:t xml:space="preserve">Delta_MB（三</w:t>
      </w:r>
      <w:r>
        <w:rPr>
          <w:b/>
          <w:bCs/>
        </w:rPr>
        <w:t xml:space="preserve"> Persona </w:t>
      </w:r>
      <w:r>
        <w:rPr>
          <w:rFonts w:hint="eastAsia"/>
          <w:b/>
          <w:bCs/>
        </w:rPr>
        <w:t xml:space="preserve">均值）</w:t>
      </w:r>
    </w:p>
    <w:tbl>
      <w:tblPr>
        <w:tblStyle w:val="Table"/>
        <w:tblW w:type="pct" w:w="5000"/>
        <w:tblLayout w:type="fixed"/>
        <w:tblLook w:firstRow="1" w:lastRow="0" w:firstColumn="0" w:lastColumn="0" w:noHBand="0" w:noVBand="0" w:val="0020"/>
      </w:tblPr>
      <w:tblGrid>
        <w:gridCol w:w="594"/>
        <w:gridCol w:w="891"/>
        <w:gridCol w:w="891"/>
        <w:gridCol w:w="1287"/>
        <w:gridCol w:w="1287"/>
        <w:gridCol w:w="792"/>
        <w:gridCol w:w="1287"/>
        <w:gridCol w:w="891"/>
      </w:tblGrid>
      <w:tr>
        <w:trPr>
          <w:tblHeader w:val="on"/>
        </w:trPr>
        <w:tc>
          <w:tcPr/>
          <w:p>
            <w:pPr>
              <w:pStyle w:val="Compact"/>
            </w:pPr>
            <w:r>
              <w:rPr>
                <w:rFonts w:hint="eastAsia"/>
              </w:rPr>
              <w:t xml:space="preserve">架構</w:t>
            </w:r>
          </w:p>
        </w:tc>
        <w:tc>
          <w:tcPr/>
          <w:p>
            <w:pPr>
              <w:pStyle w:val="Compact"/>
            </w:pPr>
            <w:r>
              <w:t xml:space="preserve">Token IS</w:t>
            </w:r>
          </w:p>
        </w:tc>
        <w:tc>
          <w:tcPr/>
          <w:p>
            <w:pPr>
              <w:pStyle w:val="Compact"/>
            </w:pPr>
            <w:r>
              <w:t xml:space="preserve">Token OOS</w:t>
            </w:r>
          </w:p>
        </w:tc>
        <w:tc>
          <w:tcPr/>
          <w:p>
            <w:pPr>
              <w:pStyle w:val="Compact"/>
            </w:pPr>
            <w:r>
              <w:t xml:space="preserve">ProxyCost IS</w:t>
            </w:r>
          </w:p>
        </w:tc>
        <w:tc>
          <w:tcPr/>
          <w:p>
            <w:pPr>
              <w:pStyle w:val="Compact"/>
            </w:pPr>
            <w:r>
              <w:t xml:space="preserve">NetValue IS</w:t>
            </w:r>
          </w:p>
        </w:tc>
        <w:tc>
          <w:tcPr/>
          <w:p>
            <w:pPr>
              <w:pStyle w:val="Compact"/>
            </w:pPr>
            <w:r>
              <w:t xml:space="preserve">ΔMB IS</w:t>
            </w:r>
          </w:p>
        </w:tc>
        <w:tc>
          <w:tcPr/>
          <w:p>
            <w:pPr>
              <w:pStyle w:val="Compact"/>
            </w:pPr>
            <w:r>
              <w:t xml:space="preserve">NetValue OOS</w:t>
            </w:r>
          </w:p>
        </w:tc>
        <w:tc>
          <w:tcPr/>
          <w:p>
            <w:pPr>
              <w:pStyle w:val="Compact"/>
            </w:pPr>
            <w:r>
              <w:t xml:space="preserve">ΔMB OOS</w:t>
            </w:r>
          </w:p>
        </w:tc>
      </w:tr>
      <w:tr>
        <w:tc>
          <w:tcPr/>
          <w:p>
            <w:pPr>
              <w:pStyle w:val="Compact"/>
            </w:pPr>
            <w:r>
              <w:rPr>
                <w:b/>
                <w:bCs/>
              </w:rPr>
              <w:t xml:space="preserve">PlanExecute</w:t>
            </w:r>
          </w:p>
        </w:tc>
        <w:tc>
          <w:tcPr/>
          <w:p>
            <w:pPr>
              <w:pStyle w:val="Compact"/>
            </w:pPr>
            <w:r>
              <w:rPr>
                <w:b/>
                <w:bCs/>
              </w:rPr>
              <w:t xml:space="preserve">16,999</w:t>
            </w:r>
          </w:p>
        </w:tc>
        <w:tc>
          <w:tcPr/>
          <w:p>
            <w:pPr>
              <w:pStyle w:val="Compact"/>
            </w:pPr>
            <w:r>
              <w:rPr>
                <w:b/>
                <w:bCs/>
              </w:rPr>
              <w:t xml:space="preserve">21,222</w:t>
            </w:r>
          </w:p>
        </w:tc>
        <w:tc>
          <w:tcPr/>
          <w:p>
            <w:pPr>
              <w:pStyle w:val="Compact"/>
            </w:pPr>
            <w:r>
              <w:rPr>
                <w:b/>
                <w:bCs/>
              </w:rPr>
              <w:t xml:space="preserve">20.83</w:t>
            </w:r>
          </w:p>
        </w:tc>
        <w:tc>
          <w:tcPr/>
          <w:p>
            <w:pPr>
              <w:pStyle w:val="Compact"/>
            </w:pPr>
            <w:r>
              <w:rPr>
                <w:b/>
                <w:bCs/>
              </w:rPr>
              <w:t xml:space="preserve">1.429</w:t>
            </w:r>
          </w:p>
        </w:tc>
        <w:tc>
          <w:tcPr/>
          <w:p>
            <w:pPr>
              <w:pStyle w:val="Compact"/>
            </w:pPr>
            <w:r>
              <w:rPr>
                <w:b/>
                <w:bCs/>
              </w:rPr>
              <w:t xml:space="preserve">+0.162</w:t>
            </w:r>
          </w:p>
        </w:tc>
        <w:tc>
          <w:tcPr/>
          <w:p>
            <w:pPr>
              <w:pStyle w:val="Compact"/>
            </w:pPr>
            <w:r>
              <w:rPr>
                <w:b/>
                <w:bCs/>
              </w:rPr>
              <w:t xml:space="preserve">0.512</w:t>
            </w:r>
          </w:p>
        </w:tc>
        <w:tc>
          <w:tcPr/>
          <w:p>
            <w:pPr>
              <w:pStyle w:val="Compact"/>
            </w:pPr>
            <w:r>
              <w:rPr>
                <w:b/>
                <w:bCs/>
              </w:rPr>
              <w:t xml:space="preserve">+0.125</w:t>
            </w:r>
          </w:p>
        </w:tc>
      </w:tr>
      <w:tr>
        <w:tc>
          <w:tcPr/>
          <w:p>
            <w:pPr>
              <w:pStyle w:val="Compact"/>
            </w:pPr>
            <w:r>
              <w:t xml:space="preserve">Single-slot</w:t>
            </w:r>
          </w:p>
        </w:tc>
        <w:tc>
          <w:tcPr/>
          <w:p>
            <w:pPr>
              <w:pStyle w:val="Compact"/>
            </w:pPr>
            <w:r>
              <w:t xml:space="preserve">24,086</w:t>
            </w:r>
          </w:p>
        </w:tc>
        <w:tc>
          <w:tcPr/>
          <w:p>
            <w:pPr>
              <w:pStyle w:val="Compact"/>
            </w:pPr>
            <w:r>
              <w:t xml:space="preserve">29,856</w:t>
            </w:r>
          </w:p>
        </w:tc>
        <w:tc>
          <w:tcPr/>
          <w:p>
            <w:pPr>
              <w:pStyle w:val="Compact"/>
            </w:pPr>
            <w:r>
              <w:t xml:space="preserve">28.70</w:t>
            </w:r>
          </w:p>
        </w:tc>
        <w:tc>
          <w:tcPr/>
          <w:p>
            <w:pPr>
              <w:pStyle w:val="Compact"/>
            </w:pPr>
            <w:r>
              <w:t xml:space="preserve">1.247</w:t>
            </w:r>
          </w:p>
        </w:tc>
        <w:tc>
          <w:tcPr/>
          <w:p>
            <w:pPr>
              <w:pStyle w:val="Compact"/>
            </w:pPr>
            <w:r>
              <w:rPr>
                <w:rFonts w:hint="eastAsia"/>
              </w:rPr>
              <w:t xml:space="preserve">0（基準）</w:t>
            </w:r>
          </w:p>
        </w:tc>
        <w:tc>
          <w:tcPr/>
          <w:p>
            <w:pPr>
              <w:pStyle w:val="Compact"/>
            </w:pPr>
            <w:r>
              <w:t xml:space="preserve">0.387</w:t>
            </w:r>
          </w:p>
        </w:tc>
        <w:tc>
          <w:tcPr/>
          <w:p>
            <w:pPr>
              <w:pStyle w:val="Compact"/>
            </w:pPr>
            <w:r>
              <w:rPr>
                <w:rFonts w:hint="eastAsia"/>
              </w:rPr>
              <w:t xml:space="preserve">0（基準）</w:t>
            </w:r>
          </w:p>
        </w:tc>
      </w:tr>
      <w:tr>
        <w:tc>
          <w:tcPr/>
          <w:p>
            <w:pPr>
              <w:pStyle w:val="Compact"/>
            </w:pPr>
            <w:r>
              <w:t xml:space="preserve">ReAct</w:t>
            </w:r>
          </w:p>
        </w:tc>
        <w:tc>
          <w:tcPr/>
          <w:p>
            <w:pPr>
              <w:pStyle w:val="Compact"/>
            </w:pPr>
            <w:r>
              <w:t xml:space="preserve">20,831</w:t>
            </w:r>
          </w:p>
        </w:tc>
        <w:tc>
          <w:tcPr/>
          <w:p>
            <w:pPr>
              <w:pStyle w:val="Compact"/>
            </w:pPr>
            <w:r>
              <w:t xml:space="preserve">21,367</w:t>
            </w:r>
          </w:p>
        </w:tc>
        <w:tc>
          <w:tcPr/>
          <w:p>
            <w:pPr>
              <w:pStyle w:val="Compact"/>
            </w:pPr>
            <w:r>
              <w:t xml:space="preserve">30.30</w:t>
            </w:r>
          </w:p>
        </w:tc>
        <w:tc>
          <w:tcPr/>
          <w:p>
            <w:pPr>
              <w:pStyle w:val="Compact"/>
            </w:pPr>
            <w:r>
              <w:t xml:space="preserve">1.202</w:t>
            </w:r>
          </w:p>
        </w:tc>
        <w:tc>
          <w:tcPr/>
          <w:p>
            <w:pPr>
              <w:pStyle w:val="Compact"/>
            </w:pPr>
            <w:r>
              <w:t xml:space="preserve">-0.059</w:t>
            </w:r>
          </w:p>
        </w:tc>
        <w:tc>
          <w:tcPr/>
          <w:p>
            <w:pPr>
              <w:pStyle w:val="Compact"/>
            </w:pPr>
            <w:r>
              <w:t xml:space="preserve">0.363</w:t>
            </w:r>
          </w:p>
        </w:tc>
        <w:tc>
          <w:tcPr/>
          <w:p>
            <w:pPr>
              <w:pStyle w:val="Compact"/>
            </w:pPr>
            <w:r>
              <w:t xml:space="preserve">-0.023</w:t>
            </w:r>
          </w:p>
        </w:tc>
      </w:tr>
      <w:tr>
        <w:tc>
          <w:tcPr/>
          <w:p>
            <w:pPr>
              <w:pStyle w:val="Compact"/>
            </w:pPr>
            <w:r>
              <w:t xml:space="preserve">Reflection</w:t>
            </w:r>
          </w:p>
        </w:tc>
        <w:tc>
          <w:tcPr/>
          <w:p>
            <w:pPr>
              <w:pStyle w:val="Compact"/>
            </w:pPr>
            <w:r>
              <w:t xml:space="preserve">75,105</w:t>
            </w:r>
          </w:p>
        </w:tc>
        <w:tc>
          <w:tcPr/>
          <w:p>
            <w:pPr>
              <w:pStyle w:val="Compact"/>
            </w:pPr>
            <w:r>
              <w:t xml:space="preserve">72,928</w:t>
            </w:r>
          </w:p>
        </w:tc>
        <w:tc>
          <w:tcPr/>
          <w:p>
            <w:pPr>
              <w:pStyle w:val="Compact"/>
            </w:pPr>
            <w:r>
              <w:t xml:space="preserve">33.90</w:t>
            </w:r>
          </w:p>
        </w:tc>
        <w:tc>
          <w:tcPr/>
          <w:p>
            <w:pPr>
              <w:pStyle w:val="Compact"/>
            </w:pPr>
            <w:r>
              <w:t xml:space="preserve">0.938</w:t>
            </w:r>
          </w:p>
        </w:tc>
        <w:tc>
          <w:tcPr/>
          <w:p>
            <w:pPr>
              <w:pStyle w:val="Compact"/>
            </w:pPr>
            <w:r>
              <w:t xml:space="preserve">-0.267</w:t>
            </w:r>
          </w:p>
        </w:tc>
        <w:tc>
          <w:tcPr/>
          <w:p>
            <w:pPr>
              <w:pStyle w:val="Compact"/>
            </w:pPr>
            <w:r>
              <w:t xml:space="preserve">0.274</w:t>
            </w:r>
          </w:p>
        </w:tc>
        <w:tc>
          <w:tcPr/>
          <w:p>
            <w:pPr>
              <w:pStyle w:val="Compact"/>
            </w:pPr>
            <w:r>
              <w:t xml:space="preserve">-0.113</w:t>
            </w:r>
          </w:p>
        </w:tc>
      </w:tr>
    </w:tbl>
    <w:p>
      <w:pPr>
        <w:pStyle w:val="a0"/>
      </w:pPr>
      <w:r>
        <w:t xml:space="preserve">PlanExecute </w:t>
      </w:r>
      <w:r>
        <w:rPr>
          <w:rFonts w:hint="eastAsia"/>
        </w:rPr>
        <w:t xml:space="preserve">是唯一在</w:t>
      </w:r>
      <w:r>
        <w:t xml:space="preserve"> IS </w:t>
      </w:r>
      <w:r>
        <w:rPr>
          <w:rFonts w:hint="eastAsia"/>
        </w:rPr>
        <w:t xml:space="preserve">與</w:t>
      </w:r>
      <w:r>
        <w:t xml:space="preserve"> OOS </w:t>
      </w:r>
      <w:r>
        <w:rPr>
          <w:rFonts w:hint="eastAsia"/>
        </w:rPr>
        <w:t xml:space="preserve">下</w:t>
      </w:r>
      <w:r>
        <w:t xml:space="preserve"> ΔMB </w:t>
      </w:r>
      <w:r>
        <w:rPr>
          <w:rFonts w:hint="eastAsia"/>
        </w:rPr>
        <w:t xml:space="preserve">均為正值的架構，低成本優勢在分布外高度保留（ΔMB</w:t>
      </w:r>
      <w:r>
        <w:t xml:space="preserve"> </w:t>
      </w:r>
      <w:r>
        <w:rPr>
          <w:rFonts w:hint="eastAsia"/>
        </w:rPr>
        <w:t xml:space="preserve">僅從</w:t>
      </w:r>
      <w:r>
        <w:t xml:space="preserve"> +0.162 </w:t>
      </w:r>
      <w:r>
        <w:rPr>
          <w:rFonts w:hint="eastAsia"/>
        </w:rPr>
        <w:t xml:space="preserve">降至</w:t>
      </w:r>
      <w:r>
        <w:t xml:space="preserve"> </w:t>
      </w:r>
      <w:r>
        <w:rPr>
          <w:rFonts w:hint="eastAsia"/>
        </w:rPr>
        <w:t xml:space="preserve">+0.125）。OOS</w:t>
      </w:r>
      <w:r>
        <w:t xml:space="preserve"> </w:t>
      </w:r>
      <w:r>
        <w:rPr>
          <w:rFonts w:hint="eastAsia"/>
        </w:rPr>
        <w:t xml:space="preserve">所有架構</w:t>
      </w:r>
      <w:r>
        <w:t xml:space="preserve"> NetValue </w:t>
      </w:r>
      <w:r>
        <w:rPr>
          <w:rFonts w:hint="eastAsia"/>
        </w:rPr>
        <w:t xml:space="preserve">絕對值縮水約</w:t>
      </w:r>
      <w:r>
        <w:t xml:space="preserve"> </w:t>
      </w:r>
      <w:r>
        <w:rPr>
          <w:rFonts w:hint="eastAsia"/>
        </w:rPr>
        <w:t xml:space="preserve">60%（IS</w:t>
      </w:r>
      <w:r>
        <w:t xml:space="preserve"> 0.94–1.43 → OOS </w:t>
      </w:r>
      <w:r>
        <w:rPr>
          <w:rFonts w:hint="eastAsia"/>
        </w:rPr>
        <w:t xml:space="preserve">0.27–0.51），品質崩跌的衝擊遠大於成本變化。</w:t>
      </w:r>
    </w:p>
    <w:p>
      <w:pPr>
        <w:pStyle w:val="a0"/>
      </w:pPr>
      <w:r>
        <w:rPr>
          <w:b/>
          <w:bCs/>
        </w:rPr>
        <w:t xml:space="preserve">λ </w:t>
      </w:r>
      <w:r>
        <w:rPr>
          <w:rFonts w:hint="eastAsia"/>
          <w:b/>
          <w:bCs/>
        </w:rPr>
        <w:t xml:space="preserve">敏感度補充分析</w:t>
      </w:r>
    </w:p>
    <w:p>
      <w:pPr>
        <w:pStyle w:val="a0"/>
      </w:pPr>
      <w:r>
        <w:rPr>
          <w:rFonts w:hint="eastAsia"/>
        </w:rPr>
        <w:t xml:space="preserve">為驗證成本敏感參數</w:t>
      </w:r>
      <w:r>
        <w:t xml:space="preserve"> λ = 0.01 </w:t>
      </w:r>
      <w:r>
        <w:rPr>
          <w:rFonts w:hint="eastAsia"/>
        </w:rPr>
        <w:t xml:space="preserve">的選擇對結論的影響，本研究對</w:t>
      </w:r>
      <w:r>
        <w:t xml:space="preserve"> λ </w:t>
      </w:r>
      <w:r>
        <w:rPr>
          <w:rFonts w:hint="eastAsia"/>
        </w:rPr>
        <w:t xml:space="preserve">進行全範圍掃描（λ</w:t>
      </w:r>
      <w:r>
        <w:t xml:space="preserve"> ∈ [0.001, </w:t>
      </w:r>
      <w:r>
        <w:rPr>
          <w:rFonts w:hint="eastAsia"/>
        </w:rPr>
        <w:t xml:space="preserve">0.5]），在固定</w:t>
      </w:r>
      <w:r>
        <w:t xml:space="preserve"> S_Agent </w:t>
      </w:r>
      <w:r>
        <w:rPr>
          <w:rFonts w:hint="eastAsia"/>
        </w:rPr>
        <w:t xml:space="preserve">與</w:t>
      </w:r>
      <w:r>
        <w:t xml:space="preserve"> ProxyCost </w:t>
      </w:r>
      <w:r>
        <w:rPr>
          <w:rFonts w:hint="eastAsia"/>
        </w:rPr>
        <w:t xml:space="preserve">實驗結果的前提下，重新計算各架構的</w:t>
      </w:r>
      <w:r>
        <w:t xml:space="preserve"> ΔMB。</w:t>
      </w:r>
    </w:p>
    <w:p>
      <w:pPr>
        <w:pStyle w:val="a0"/>
      </w:pPr>
      <w:r>
        <w:rPr>
          <w:b/>
          <w:bCs/>
        </w:rPr>
        <w:t xml:space="preserve">Table 5. </w:t>
      </w:r>
      <w:r>
        <w:rPr>
          <w:rFonts w:hint="eastAsia"/>
          <w:b/>
          <w:bCs/>
        </w:rPr>
        <w:t xml:space="preserve">關鍵</w:t>
      </w:r>
      <w:r>
        <w:rPr>
          <w:b/>
          <w:bCs/>
        </w:rPr>
        <w:t xml:space="preserve"> λ </w:t>
      </w:r>
      <w:r>
        <w:rPr>
          <w:rFonts w:hint="eastAsia"/>
          <w:b/>
          <w:bCs/>
        </w:rPr>
        <w:t xml:space="preserve">值下各架構</w:t>
      </w:r>
      <w:r>
        <w:rPr>
          <w:b/>
          <w:bCs/>
        </w:rPr>
        <w:t xml:space="preserve"> </w:t>
      </w:r>
      <w:r>
        <w:rPr>
          <w:rFonts w:hint="eastAsia"/>
          <w:b/>
          <w:bCs/>
        </w:rPr>
        <w:t xml:space="preserve">ΔMB（IS）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λ</w:t>
            </w:r>
          </w:p>
        </w:tc>
        <w:tc>
          <w:tcPr/>
          <w:p>
            <w:pPr>
              <w:pStyle w:val="Compact"/>
            </w:pPr>
            <w:r>
              <w:t xml:space="preserve">PlanExecute</w:t>
            </w:r>
          </w:p>
        </w:tc>
        <w:tc>
          <w:tcPr/>
          <w:p>
            <w:pPr>
              <w:pStyle w:val="Compact"/>
            </w:pPr>
            <w:r>
              <w:t xml:space="preserve">ReAct</w:t>
            </w:r>
          </w:p>
        </w:tc>
        <w:tc>
          <w:tcPr/>
          <w:p>
            <w:pPr>
              <w:pStyle w:val="Compact"/>
            </w:pPr>
            <w:r>
              <w:t xml:space="preserve">Reflection</w:t>
            </w:r>
          </w:p>
        </w:tc>
      </w:tr>
      <w:tr>
        <w:tc>
          <w:tcPr/>
          <w:p>
            <w:pPr>
              <w:pStyle w:val="Compact"/>
            </w:pPr>
            <w:r>
              <w:t xml:space="preserve">0.001</w:t>
            </w:r>
          </w:p>
        </w:tc>
        <w:tc>
          <w:tcPr/>
          <w:p>
            <w:pPr>
              <w:pStyle w:val="Compact"/>
            </w:pPr>
            <w:r>
              <w:t xml:space="preserve">+0.099</w:t>
            </w:r>
          </w:p>
        </w:tc>
        <w:tc>
          <w:tcPr/>
          <w:p>
            <w:pPr>
              <w:pStyle w:val="Compact"/>
            </w:pPr>
            <w:r>
              <w:t xml:space="preserve">−0.035</w:t>
            </w:r>
          </w:p>
        </w:tc>
        <w:tc>
          <w:tcPr/>
          <w:p>
            <w:pPr>
              <w:pStyle w:val="Compact"/>
            </w:pPr>
            <w:r>
              <w:t xml:space="preserve">−0.238</w:t>
            </w:r>
          </w:p>
        </w:tc>
      </w:tr>
      <w:tr>
        <w:tc>
          <w:tcPr/>
          <w:p>
            <w:pPr>
              <w:pStyle w:val="Compact"/>
            </w:pPr>
            <w:r>
              <w:rPr>
                <w:rFonts w:hint="eastAsia"/>
                <w:b/>
                <w:bCs/>
              </w:rPr>
              <w:t xml:space="preserve">0.01（最後採用）</w:t>
            </w:r>
          </w:p>
        </w:tc>
        <w:tc>
          <w:tcPr/>
          <w:p>
            <w:pPr>
              <w:pStyle w:val="Compact"/>
            </w:pPr>
            <w:r>
              <w:rPr>
                <w:b/>
                <w:bCs/>
              </w:rPr>
              <w:t xml:space="preserve">+0.162</w:t>
            </w:r>
          </w:p>
        </w:tc>
        <w:tc>
          <w:tcPr/>
          <w:p>
            <w:pPr>
              <w:pStyle w:val="Compact"/>
            </w:pPr>
            <w:r>
              <w:rPr>
                <w:b/>
                <w:bCs/>
              </w:rPr>
              <w:t xml:space="preserve">−0.059</w:t>
            </w:r>
          </w:p>
        </w:tc>
        <w:tc>
          <w:tcPr/>
          <w:p>
            <w:pPr>
              <w:pStyle w:val="Compact"/>
            </w:pPr>
            <w:r>
              <w:rPr>
                <w:b/>
                <w:bCs/>
              </w:rPr>
              <w:t xml:space="preserve">−0.267</w:t>
            </w:r>
          </w:p>
        </w:tc>
      </w:tr>
      <w:tr>
        <w:tc>
          <w:tcPr/>
          <w:p>
            <w:pPr>
              <w:pStyle w:val="Compact"/>
            </w:pPr>
            <w:r>
              <w:t xml:space="preserve">0.05</w:t>
            </w:r>
          </w:p>
        </w:tc>
        <w:tc>
          <w:tcPr/>
          <w:p>
            <w:pPr>
              <w:pStyle w:val="Compact"/>
            </w:pPr>
            <w:r>
              <w:t xml:space="preserve">+0.444</w:t>
            </w:r>
          </w:p>
        </w:tc>
        <w:tc>
          <w:tcPr/>
          <w:p>
            <w:pPr>
              <w:pStyle w:val="Compact"/>
            </w:pPr>
            <w:r>
              <w:t xml:space="preserve">−0.169</w:t>
            </w:r>
          </w:p>
        </w:tc>
        <w:tc>
          <w:tcPr/>
          <w:p>
            <w:pPr>
              <w:pStyle w:val="Compact"/>
            </w:pPr>
            <w:r>
              <w:t xml:space="preserve">−0.396</w:t>
            </w:r>
          </w:p>
        </w:tc>
      </w:tr>
      <w:tr>
        <w:tc>
          <w:tcPr/>
          <w:p>
            <w:pPr>
              <w:pStyle w:val="Compact"/>
            </w:pPr>
            <w:r>
              <w:t xml:space="preserve">0.1</w:t>
            </w:r>
          </w:p>
        </w:tc>
        <w:tc>
          <w:tcPr/>
          <w:p>
            <w:pPr>
              <w:pStyle w:val="Compact"/>
            </w:pPr>
            <w:r>
              <w:t xml:space="preserve">+0.797</w:t>
            </w:r>
          </w:p>
        </w:tc>
        <w:tc>
          <w:tcPr/>
          <w:p>
            <w:pPr>
              <w:pStyle w:val="Compact"/>
            </w:pPr>
            <w:r>
              <w:t xml:space="preserve">−0.307</w:t>
            </w:r>
          </w:p>
        </w:tc>
        <w:tc>
          <w:tcPr/>
          <w:p>
            <w:pPr>
              <w:pStyle w:val="Compact"/>
            </w:pPr>
            <w:r>
              <w:t xml:space="preserve">−0.558</w:t>
            </w:r>
          </w:p>
        </w:tc>
      </w:tr>
    </w:tbl>
    <w:p>
      <w:pPr>
        <w:pStyle w:val="a0"/>
      </w:pPr>
      <w:r>
        <w:t xml:space="preserve">IS </w:t>
      </w:r>
      <w:r>
        <w:rPr>
          <w:rFonts w:hint="eastAsia"/>
        </w:rPr>
        <w:t xml:space="preserve">下，架構排名在整個</w:t>
      </w:r>
      <w:r>
        <w:t xml:space="preserve"> λ </w:t>
      </w:r>
      <w:r>
        <w:rPr>
          <w:rFonts w:hint="eastAsia"/>
        </w:rPr>
        <w:t xml:space="preserve">掃描範圍內</w:t>
      </w:r>
      <w:r>
        <w:rPr>
          <w:rFonts w:hint="eastAsia"/>
          <w:b/>
          <w:bCs/>
        </w:rPr>
        <w:t xml:space="preserve">完全無翻轉</w:t>
      </w:r>
      <w:r>
        <w:rPr>
          <w:rFonts w:hint="eastAsia"/>
        </w:rPr>
        <w:t xml:space="preserve">。其根本原因在於</w:t>
      </w:r>
      <w:r>
        <w:t xml:space="preserve"> PlanExecute </w:t>
      </w:r>
      <w:r>
        <w:rPr>
          <w:rFonts w:hint="eastAsia"/>
        </w:rPr>
        <w:t xml:space="preserve">同時具備最高品質（S_Agent</w:t>
      </w:r>
      <w:r>
        <w:t xml:space="preserve"> </w:t>
      </w:r>
      <w:r>
        <w:rPr>
          <w:rFonts w:hint="eastAsia"/>
        </w:rPr>
        <w:t xml:space="preserve">83.1）與最低成本（ProxyCost</w:t>
      </w:r>
      <w:r>
        <w:t xml:space="preserve"> </w:t>
      </w:r>
      <w:r>
        <w:rPr>
          <w:rFonts w:hint="eastAsia"/>
        </w:rPr>
        <w:t xml:space="preserve">20.8），對</w:t>
      </w:r>
      <w:r>
        <w:t xml:space="preserve"> Single-slot </w:t>
      </w:r>
      <w:r>
        <w:rPr>
          <w:rFonts w:hint="eastAsia"/>
        </w:rPr>
        <w:t xml:space="preserve">形成雙維度主導（dominance），排名因此不依賴</w:t>
      </w:r>
      <w:r>
        <w:t xml:space="preserve"> λ </w:t>
      </w:r>
      <w:r>
        <w:rPr>
          <w:rFonts w:hint="eastAsia"/>
        </w:rPr>
        <w:t xml:space="preserve">的大小。</w:t>
      </w:r>
    </w:p>
    <w:p>
      <w:pPr>
        <w:pStyle w:val="a0"/>
      </w:pPr>
      <w:r>
        <w:t xml:space="preserve">OOS </w:t>
      </w:r>
      <w:r>
        <w:rPr>
          <w:rFonts w:hint="eastAsia"/>
        </w:rPr>
        <w:t xml:space="preserve">下出現一個局部翻轉：ReAct</w:t>
      </w:r>
      <w:r>
        <w:t xml:space="preserve"> </w:t>
      </w:r>
      <w:r>
        <w:rPr>
          <w:rFonts w:hint="eastAsia"/>
        </w:rPr>
        <w:t xml:space="preserve">的</w:t>
      </w:r>
      <w:r>
        <w:t xml:space="preserve"> ΔMB </w:t>
      </w:r>
      <w:r>
        <w:rPr>
          <w:rFonts w:hint="eastAsia"/>
        </w:rPr>
        <w:t xml:space="preserve">在</w:t>
      </w:r>
      <w:r>
        <w:t xml:space="preserve"> λ ≈ 0.03 </w:t>
      </w:r>
      <w:r>
        <w:rPr>
          <w:rFonts w:hint="eastAsia"/>
        </w:rPr>
        <w:t xml:space="preserve">附近由負轉正，成因是</w:t>
      </w:r>
      <w:r>
        <w:t xml:space="preserve"> OOS </w:t>
      </w:r>
      <w:r>
        <w:rPr>
          <w:rFonts w:hint="eastAsia"/>
        </w:rPr>
        <w:t xml:space="preserve">環境下</w:t>
      </w:r>
      <w:r>
        <w:t xml:space="preserve"> Single-slot </w:t>
      </w:r>
      <w:r>
        <w:rPr>
          <w:rFonts w:hint="eastAsia"/>
        </w:rPr>
        <w:t xml:space="preserve">的</w:t>
      </w:r>
      <w:r>
        <w:t xml:space="preserve"> </w:t>
      </w:r>
      <w:r>
        <w:rPr>
          <w:rFonts w:hint="eastAsia"/>
        </w:rPr>
        <w:t xml:space="preserve">ProxyCost（31.3）高於</w:t>
      </w:r>
      <w:r>
        <w:t xml:space="preserve"> </w:t>
      </w:r>
      <w:r>
        <w:rPr>
          <w:rFonts w:hint="eastAsia"/>
        </w:rPr>
        <w:t xml:space="preserve">ReAct（29.5），當成本懲罰夠大時成本劣勢翻轉了品質差距。在</w:t>
      </w:r>
      <w:r>
        <w:t xml:space="preserve"> λ = 0.01 </w:t>
      </w:r>
      <w:r>
        <w:rPr>
          <w:rFonts w:hint="eastAsia"/>
        </w:rPr>
        <w:t xml:space="preserve">的設定下，此翻轉尚未發生（ReAct</w:t>
      </w:r>
      <w:r>
        <w:t xml:space="preserve"> OOS ΔMB = </w:t>
      </w:r>
      <w:r>
        <w:rPr>
          <w:rFonts w:hint="eastAsia"/>
        </w:rPr>
        <w:t xml:space="preserve">−0.023），論文採用的</w:t>
      </w:r>
      <w:r>
        <w:t xml:space="preserve"> λ </w:t>
      </w:r>
      <w:r>
        <w:rPr>
          <w:rFonts w:hint="eastAsia"/>
        </w:rPr>
        <w:t xml:space="preserve">值落於翻轉點之前的穩定區間。Reflection</w:t>
      </w:r>
      <w:r>
        <w:t xml:space="preserve"> </w:t>
      </w:r>
      <w:r>
        <w:rPr>
          <w:rFonts w:hint="eastAsia"/>
        </w:rPr>
        <w:t xml:space="preserve">在所有測試</w:t>
      </w:r>
      <w:r>
        <w:t xml:space="preserve"> λ </w:t>
      </w:r>
      <w:r>
        <w:rPr>
          <w:rFonts w:hint="eastAsia"/>
        </w:rPr>
        <w:t xml:space="preserve">下</w:t>
      </w:r>
      <w:r>
        <w:t xml:space="preserve"> ΔMB </w:t>
      </w:r>
      <w:r>
        <w:rPr>
          <w:rFonts w:hint="eastAsia"/>
        </w:rPr>
        <w:t xml:space="preserve">均為負，結論不受</w:t>
      </w:r>
      <w:r>
        <w:t xml:space="preserve"> λ </w:t>
      </w:r>
      <w:r>
        <w:rPr>
          <w:rFonts w:hint="eastAsia"/>
        </w:rPr>
        <w:t xml:space="preserve">選擇影響。</w:t>
      </w:r>
    </w:p>
    <w:bookmarkEnd w:id="11"/>
    <w:bookmarkStart w:id="12" w:name="persona-敏感度pss與排名穩健性"/>
    <w:p>
      <w:pPr>
        <w:pStyle w:val="3"/>
      </w:pPr>
      <w:r>
        <w:t xml:space="preserve">4.4 Persona </w:t>
      </w:r>
      <w:r>
        <w:rPr>
          <w:rFonts w:hint="eastAsia"/>
        </w:rPr>
        <w:t xml:space="preserve">敏感度（PSS）與排名穩健性</w:t>
      </w:r>
    </w:p>
    <w:p>
      <w:pPr>
        <w:pStyle w:val="FirstParagraph"/>
      </w:pPr>
      <w:r>
        <w:rPr>
          <w:b/>
          <w:bCs/>
        </w:rPr>
        <w:t xml:space="preserve">Table 4. ProSA PSS </w:t>
      </w:r>
      <w:r>
        <w:rPr>
          <w:rFonts w:hint="eastAsia"/>
          <w:b/>
          <w:bCs/>
        </w:rPr>
        <w:t xml:space="preserve">與</w:t>
      </w:r>
      <w:r>
        <w:rPr>
          <w:b/>
          <w:bCs/>
        </w:rPr>
        <w:t xml:space="preserve"> S_Agent </w:t>
      </w:r>
      <w:r>
        <w:rPr>
          <w:rFonts w:hint="eastAsia"/>
          <w:b/>
          <w:bCs/>
        </w:rPr>
        <w:t xml:space="preserve">權重敏感度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架構</w:t>
            </w:r>
          </w:p>
        </w:tc>
        <w:tc>
          <w:tcPr/>
          <w:p>
            <w:pPr>
              <w:pStyle w:val="Compact"/>
            </w:pPr>
            <w:r>
              <w:t xml:space="preserve">IS PSS</w:t>
            </w:r>
          </w:p>
        </w:tc>
        <w:tc>
          <w:tcPr/>
          <w:p>
            <w:pPr>
              <w:pStyle w:val="Compact"/>
            </w:pPr>
            <w:r>
              <w:t xml:space="preserve">OOS PSS</w:t>
            </w:r>
          </w:p>
        </w:tc>
        <w:tc>
          <w:tcPr/>
          <w:p>
            <w:pPr>
              <w:pStyle w:val="Compact"/>
            </w:pPr>
            <w:r>
              <w:t xml:space="preserve">IS </w:t>
            </w:r>
            <w:r>
              <w:rPr>
                <w:rFonts w:hint="eastAsia"/>
              </w:rPr>
              <w:t xml:space="preserve">Rank1（969</w:t>
            </w:r>
            <w:r>
              <w:t xml:space="preserve"> </w:t>
            </w:r>
            <w:r>
              <w:rPr>
                <w:rFonts w:hint="eastAsia"/>
              </w:rPr>
              <w:t xml:space="preserve">種組合）</w:t>
            </w:r>
          </w:p>
        </w:tc>
        <w:tc>
          <w:tcPr/>
          <w:p>
            <w:pPr>
              <w:pStyle w:val="Compact"/>
            </w:pPr>
            <w:r>
              <w:t xml:space="preserve">OOS Rank1</w:t>
            </w:r>
          </w:p>
        </w:tc>
      </w:tr>
      <w:tr>
        <w:tc>
          <w:tcPr/>
          <w:p>
            <w:pPr>
              <w:pStyle w:val="Compact"/>
            </w:pPr>
            <w:r>
              <w:rPr>
                <w:b/>
                <w:bCs/>
              </w:rPr>
              <w:t xml:space="preserve">PlanExecute</w:t>
            </w:r>
          </w:p>
        </w:tc>
        <w:tc>
          <w:tcPr/>
          <w:p>
            <w:pPr>
              <w:pStyle w:val="Compact"/>
            </w:pPr>
            <w:r>
              <w:rPr>
                <w:b/>
                <w:bCs/>
              </w:rPr>
              <w:t xml:space="preserve">17.96</w:t>
            </w:r>
          </w:p>
        </w:tc>
        <w:tc>
          <w:tcPr/>
          <w:p>
            <w:pPr>
              <w:pStyle w:val="Compact"/>
            </w:pPr>
            <w:r>
              <w:t xml:space="preserve">18.33</w:t>
            </w:r>
          </w:p>
        </w:tc>
        <w:tc>
          <w:tcPr/>
          <w:p>
            <w:pPr>
              <w:pStyle w:val="Compact"/>
            </w:pPr>
            <w:r>
              <w:rPr>
                <w:b/>
                <w:bCs/>
              </w:rPr>
              <w:t xml:space="preserve">100%</w:t>
            </w:r>
          </w:p>
        </w:tc>
        <w:tc>
          <w:tcPr/>
          <w:p>
            <w:pPr>
              <w:pStyle w:val="Compact"/>
            </w:pPr>
            <w:r>
              <w:rPr>
                <w:b/>
                <w:bCs/>
              </w:rPr>
              <w:t xml:space="preserve">99.9%</w:t>
            </w:r>
          </w:p>
        </w:tc>
      </w:tr>
      <w:tr>
        <w:tc>
          <w:tcPr/>
          <w:p>
            <w:pPr>
              <w:pStyle w:val="Compact"/>
            </w:pPr>
            <w:r>
              <w:t xml:space="preserve">ReAct</w:t>
            </w:r>
          </w:p>
        </w:tc>
        <w:tc>
          <w:tcPr/>
          <w:p>
            <w:pPr>
              <w:pStyle w:val="Compact"/>
            </w:pPr>
            <w:r>
              <w:t xml:space="preserve">20.27</w:t>
            </w:r>
          </w:p>
        </w:tc>
        <w:tc>
          <w:tcPr/>
          <w:p>
            <w:pPr>
              <w:pStyle w:val="Compact"/>
            </w:pPr>
            <w:r>
              <w:rPr>
                <w:b/>
                <w:bCs/>
              </w:rPr>
              <w:t xml:space="preserve">17.20</w:t>
            </w:r>
          </w:p>
        </w:tc>
        <w:tc>
          <w:tcPr/>
          <w:p>
            <w:pPr>
              <w:pStyle w:val="Compact"/>
            </w:pPr>
            <w:r>
              <w:t xml:space="preserve">0%</w:t>
            </w:r>
          </w:p>
        </w:tc>
        <w:tc>
          <w:tcPr/>
          <w:p>
            <w:pPr>
              <w:pStyle w:val="Compact"/>
            </w:pPr>
            <w:r>
              <w:t xml:space="preserve">0%</w:t>
            </w:r>
          </w:p>
        </w:tc>
      </w:tr>
      <w:tr>
        <w:tc>
          <w:tcPr/>
          <w:p>
            <w:pPr>
              <w:pStyle w:val="Compact"/>
            </w:pPr>
            <w:r>
              <w:t xml:space="preserve">Single-slot</w:t>
            </w:r>
          </w:p>
        </w:tc>
        <w:tc>
          <w:tcPr/>
          <w:p>
            <w:pPr>
              <w:pStyle w:val="Compact"/>
            </w:pPr>
            <w:r>
              <w:t xml:space="preserve">25.08</w:t>
            </w:r>
          </w:p>
        </w:tc>
        <w:tc>
          <w:tcPr/>
          <w:p>
            <w:pPr>
              <w:pStyle w:val="Compact"/>
            </w:pPr>
            <w:r>
              <w:t xml:space="preserve">20.87</w:t>
            </w:r>
          </w:p>
        </w:tc>
        <w:tc>
          <w:tcPr/>
          <w:p>
            <w:pPr>
              <w:pStyle w:val="Compact"/>
            </w:pPr>
            <w:r>
              <w:t xml:space="preserve">0%</w:t>
            </w:r>
          </w:p>
        </w:tc>
        <w:tc>
          <w:tcPr/>
          <w:p>
            <w:pPr>
              <w:pStyle w:val="Compact"/>
            </w:pPr>
            <w:r>
              <w:t xml:space="preserve">0.1%</w:t>
            </w:r>
          </w:p>
        </w:tc>
      </w:tr>
      <w:tr>
        <w:tc>
          <w:tcPr/>
          <w:p>
            <w:pPr>
              <w:pStyle w:val="Compact"/>
            </w:pPr>
            <w:r>
              <w:t xml:space="preserve">Reflection</w:t>
            </w:r>
          </w:p>
        </w:tc>
        <w:tc>
          <w:tcPr/>
          <w:p>
            <w:pPr>
              <w:pStyle w:val="Compact"/>
            </w:pPr>
            <w:r>
              <w:t xml:space="preserve">28.70</w:t>
            </w:r>
          </w:p>
        </w:tc>
        <w:tc>
          <w:tcPr/>
          <w:p>
            <w:pPr>
              <w:pStyle w:val="Compact"/>
            </w:pPr>
            <w:r>
              <w:t xml:space="preserve">20.13</w:t>
            </w:r>
          </w:p>
        </w:tc>
        <w:tc>
          <w:tcPr/>
          <w:p>
            <w:pPr>
              <w:pStyle w:val="Compact"/>
            </w:pPr>
            <w:r>
              <w:t xml:space="preserve">0%</w:t>
            </w:r>
          </w:p>
        </w:tc>
        <w:tc>
          <w:tcPr/>
          <w:p>
            <w:pPr>
              <w:pStyle w:val="Compact"/>
            </w:pPr>
            <w:r>
              <w:t xml:space="preserve">0%</w:t>
            </w:r>
          </w:p>
        </w:tc>
      </w:tr>
    </w:tbl>
    <w:p>
      <w:pPr>
        <w:pStyle w:val="a0"/>
      </w:pPr>
      <w:r>
        <w:t xml:space="preserve">PlanExecute </w:t>
      </w:r>
      <w:r>
        <w:rPr>
          <w:rFonts w:hint="eastAsia"/>
        </w:rPr>
        <w:t xml:space="preserve">在所有</w:t>
      </w:r>
      <w:r>
        <w:t xml:space="preserve"> 969 </w:t>
      </w:r>
      <w:r>
        <w:rPr>
          <w:rFonts w:hint="eastAsia"/>
        </w:rPr>
        <w:t xml:space="preserve">種合法權重組合下均排名第一，研究結論對指標設計完全穩健，且</w:t>
      </w:r>
      <w:r>
        <w:t xml:space="preserve"> PlanExecute </w:t>
      </w:r>
      <w:r>
        <w:rPr>
          <w:rFonts w:hint="eastAsia"/>
        </w:rPr>
        <w:t xml:space="preserve">在</w:t>
      </w:r>
      <w:r>
        <w:t xml:space="preserve"> IS </w:t>
      </w:r>
      <w:r>
        <w:rPr>
          <w:rFonts w:hint="eastAsia"/>
        </w:rPr>
        <w:t xml:space="preserve">評估中同樣取得最低</w:t>
      </w:r>
      <w:r>
        <w:t xml:space="preserve"> </w:t>
      </w:r>
      <w:r>
        <w:rPr>
          <w:rFonts w:hint="eastAsia"/>
        </w:rPr>
        <w:t xml:space="preserve">PSS（17.96），體現系統性的穩定輸出能力。OOS</w:t>
      </w:r>
      <w:r>
        <w:t xml:space="preserve"> </w:t>
      </w:r>
      <w:r>
        <w:rPr>
          <w:rFonts w:hint="eastAsia"/>
        </w:rPr>
        <w:t xml:space="preserve">下</w:t>
      </w:r>
      <w:r>
        <w:t xml:space="preserve"> ReAct PSS </w:t>
      </w:r>
      <w:r>
        <w:rPr>
          <w:rFonts w:hint="eastAsia"/>
        </w:rPr>
        <w:t xml:space="preserve">降為最低（17.20），排名由</w:t>
      </w:r>
      <w:r>
        <w:t xml:space="preserve"> IS </w:t>
      </w:r>
      <w:r>
        <w:rPr>
          <w:rFonts w:hint="eastAsia"/>
        </w:rPr>
        <w:t xml:space="preserve">的第二翻轉至第一，差距為</w:t>
      </w:r>
      <w:r>
        <w:t xml:space="preserve"> 1.13 </w:t>
      </w:r>
      <w:r>
        <w:rPr>
          <w:rFonts w:hint="eastAsia"/>
        </w:rPr>
        <w:t xml:space="preserve">分；PlanExecute</w:t>
      </w:r>
      <w:r>
        <w:t xml:space="preserve"> OOS </w:t>
      </w:r>
      <w:r>
        <w:rPr>
          <w:rFonts w:hint="eastAsia"/>
        </w:rPr>
        <w:t xml:space="preserve">PSS（18.33）與其</w:t>
      </w:r>
      <w:r>
        <w:t xml:space="preserve"> IS </w:t>
      </w:r>
      <w:r>
        <w:rPr>
          <w:rFonts w:hint="eastAsia"/>
        </w:rPr>
        <w:t xml:space="preserve">值（17.96）幾乎持平，顯示</w:t>
      </w:r>
      <w:r>
        <w:t xml:space="preserve"> PlanExecute </w:t>
      </w:r>
      <w:r>
        <w:rPr>
          <w:rFonts w:hint="eastAsia"/>
        </w:rPr>
        <w:t xml:space="preserve">本身穩健性並未惡化，但</w:t>
      </w:r>
      <w:r>
        <w:t xml:space="preserve"> ReAct </w:t>
      </w:r>
      <w:r>
        <w:rPr>
          <w:rFonts w:hint="eastAsia"/>
        </w:rPr>
        <w:t xml:space="preserve">的跨</w:t>
      </w:r>
      <w:r>
        <w:t xml:space="preserve"> Persona </w:t>
      </w:r>
      <w:r>
        <w:rPr>
          <w:rFonts w:hint="eastAsia"/>
        </w:rPr>
        <w:t xml:space="preserve">差距在</w:t>
      </w:r>
      <w:r>
        <w:t xml:space="preserve"> OOS </w:t>
      </w:r>
      <w:r>
        <w:rPr>
          <w:rFonts w:hint="eastAsia"/>
        </w:rPr>
        <w:t xml:space="preserve">下確實收斂。ReAct</w:t>
      </w:r>
      <w:r>
        <w:t xml:space="preserve"> OOS PSS </w:t>
      </w:r>
      <w:r>
        <w:rPr>
          <w:rFonts w:hint="eastAsia"/>
        </w:rPr>
        <w:t xml:space="preserve">下降，反映陌生意圖下三個</w:t>
      </w:r>
      <w:r>
        <w:t xml:space="preserve"> Persona </w:t>
      </w:r>
      <w:r>
        <w:rPr>
          <w:rFonts w:hint="eastAsia"/>
        </w:rPr>
        <w:t xml:space="preserve">結果趨同：IS</w:t>
      </w:r>
      <w:r>
        <w:t xml:space="preserve"> </w:t>
      </w:r>
      <w:r>
        <w:rPr>
          <w:rFonts w:hint="eastAsia"/>
        </w:rPr>
        <w:t xml:space="preserve">中</w:t>
      </w:r>
      <w:r>
        <w:t xml:space="preserve"> PSS &gt; 30 </w:t>
      </w:r>
      <w:r>
        <w:rPr>
          <w:rFonts w:hint="eastAsia"/>
        </w:rPr>
        <w:t xml:space="preserve">的高差距案例有</w:t>
      </w:r>
      <w:r>
        <w:t xml:space="preserve"> 47 </w:t>
      </w:r>
      <w:r>
        <w:rPr>
          <w:rFonts w:hint="eastAsia"/>
        </w:rPr>
        <w:t xml:space="preserve">個（Persona</w:t>
      </w:r>
      <w:r>
        <w:t xml:space="preserve"> </w:t>
      </w:r>
      <w:r>
        <w:rPr>
          <w:rFonts w:hint="eastAsia"/>
        </w:rPr>
        <w:t xml:space="preserve">行為差異足以決定結果），OOS</w:t>
      </w:r>
      <w:r>
        <w:t xml:space="preserve"> </w:t>
      </w:r>
      <w:r>
        <w:rPr>
          <w:rFonts w:hint="eastAsia"/>
        </w:rPr>
        <w:t xml:space="preserve">僅剩</w:t>
      </w:r>
      <w:r>
        <w:t xml:space="preserve"> 5 </w:t>
      </w:r>
      <w:r>
        <w:rPr>
          <w:rFonts w:hint="eastAsia"/>
        </w:rPr>
        <w:t xml:space="preserve">個，陌生意圖讓各</w:t>
      </w:r>
      <w:r>
        <w:t xml:space="preserve"> Persona </w:t>
      </w:r>
      <w:r>
        <w:rPr>
          <w:rFonts w:hint="eastAsia"/>
        </w:rPr>
        <w:t xml:space="preserve">面對相同認知障礙，跨</w:t>
      </w:r>
      <w:r>
        <w:t xml:space="preserve"> Persona </w:t>
      </w:r>
      <w:r>
        <w:rPr>
          <w:rFonts w:hint="eastAsia"/>
        </w:rPr>
        <w:t xml:space="preserve">分歧空間大幅收縮。</w:t>
      </w:r>
    </w:p>
    <w:p>
      <w:r>
        <w:pict>
          <v:rect style="width:0;height:1.5pt" o:hralign="center" o:hrstd="t" o:hr="t"/>
        </w:pict>
      </w:r>
    </w:p>
    <w:bookmarkEnd w:id="12"/>
    <w:bookmarkEnd w:id="13"/>
    <w:bookmarkStart w:id="17" w:name="analysis-and-discussion"/>
    <w:p>
      <w:pPr>
        <w:pStyle w:val="2"/>
      </w:pPr>
      <w:r>
        <w:t xml:space="preserve">5. Analysis and Discussion</w:t>
      </w:r>
    </w:p>
    <w:bookmarkStart w:id="14" w:name="品質分析"/>
    <w:p>
      <w:pPr>
        <w:pStyle w:val="3"/>
      </w:pPr>
      <w:r>
        <w:t xml:space="preserve">5.1 </w:t>
      </w:r>
      <w:r>
        <w:rPr>
          <w:rFonts w:hint="eastAsia"/>
        </w:rPr>
        <w:t xml:space="preserve">品質分析</w:t>
      </w:r>
    </w:p>
    <w:p>
      <w:pPr>
        <w:pStyle w:val="FirstParagraph"/>
      </w:pPr>
      <w:r>
        <w:t xml:space="preserve">PlanExecute </w:t>
      </w:r>
      <w:r>
        <w:rPr>
          <w:rFonts w:hint="eastAsia"/>
        </w:rPr>
        <w:t xml:space="preserve">的領先源於計畫執行分離所帶來的認知負擔重分配。傳統</w:t>
      </w:r>
      <w:r>
        <w:t xml:space="preserve"> ReAct </w:t>
      </w:r>
      <w:r>
        <w:rPr>
          <w:rFonts w:hint="eastAsia"/>
        </w:rPr>
        <w:t xml:space="preserve">要求模型在每個迭代循環中同時維持推理、工具呼叫與觀察整合三步格式，PlanExecute</w:t>
      </w:r>
      <w:r>
        <w:t xml:space="preserve"> </w:t>
      </w:r>
      <w:r>
        <w:rPr>
          <w:rFonts w:hint="eastAsia"/>
        </w:rPr>
        <w:t xml:space="preserve">則將任務分解為兩個專職階段——計畫階段將顧客意圖轉化為清晰的行動序列，執行階段只需按序完成已明確化的單一動作。對</w:t>
      </w:r>
      <w:r>
        <w:t xml:space="preserve"> llama3.1:8b </w:t>
      </w:r>
      <w:r>
        <w:rPr>
          <w:rFonts w:hint="eastAsia"/>
        </w:rPr>
        <w:t xml:space="preserve">而言，執行已確定的單步動作遠比即興的多步推理更容易維持格式紀律，這直接體現在</w:t>
      </w:r>
      <w:r>
        <w:t xml:space="preserve"> </w:t>
      </w:r>
      <w:r>
        <w:rPr>
          <w:rFonts w:hint="eastAsia"/>
        </w:rPr>
        <w:t xml:space="preserve">S_Tool（72.8，全場最高）與</w:t>
      </w:r>
      <w:r>
        <w:t xml:space="preserve"> </w:t>
      </w:r>
      <w:r>
        <w:rPr>
          <w:rFonts w:hint="eastAsia"/>
        </w:rPr>
        <w:t xml:space="preserve">S_Traj（99.4）的雙重領先。此外，跨</w:t>
      </w:r>
      <w:r>
        <w:t xml:space="preserve"> Persona </w:t>
      </w:r>
      <w:r>
        <w:rPr>
          <w:rFonts w:hint="eastAsia"/>
        </w:rPr>
        <w:t xml:space="preserve">的</w:t>
      </w:r>
      <w:r>
        <w:t xml:space="preserve"> S_Agent </w:t>
      </w:r>
      <w:r>
        <w:rPr>
          <w:rFonts w:hint="eastAsia"/>
        </w:rPr>
        <w:t xml:space="preserve">波動幅度最小（1.65</w:t>
      </w:r>
      <w:r>
        <w:t xml:space="preserve"> </w:t>
      </w:r>
      <w:r>
        <w:rPr>
          <w:rFonts w:hint="eastAsia"/>
        </w:rPr>
        <w:t xml:space="preserve">分），顯示此優勢不依賴特定顧客行為風格，而是架構設計帶來的系統性穩定輸出能力。</w:t>
      </w:r>
    </w:p>
    <w:p>
      <w:pPr>
        <w:pStyle w:val="a0"/>
      </w:pPr>
      <w:r>
        <w:rPr>
          <w:rFonts w:hint="eastAsia"/>
        </w:rPr>
        <w:t xml:space="preserve">相對於此，其他三架構的品質問題各有其設計層面的根源。ReAct</w:t>
      </w:r>
      <w:r>
        <w:t xml:space="preserve"> </w:t>
      </w:r>
      <w:r>
        <w:rPr>
          <w:rFonts w:hint="eastAsia"/>
        </w:rPr>
        <w:t xml:space="preserve">的工具呼叫品質（S_Tool</w:t>
      </w:r>
      <w:r>
        <w:t xml:space="preserve"> </w:t>
      </w:r>
      <w:r>
        <w:rPr>
          <w:rFonts w:hint="eastAsia"/>
        </w:rPr>
        <w:t xml:space="preserve">47.7）顯著低落，根源在於</w:t>
      </w:r>
      <w:r>
        <w:t xml:space="preserve"> Thought-Action </w:t>
      </w:r>
      <w:r>
        <w:rPr>
          <w:rFonts w:hint="eastAsia"/>
        </w:rPr>
        <w:t xml:space="preserve">格式對底層模型的認知要求無法解除，llama3.1:8b</w:t>
      </w:r>
      <w:r>
        <w:t xml:space="preserve"> </w:t>
      </w:r>
      <w:r>
        <w:rPr>
          <w:rFonts w:hint="eastAsia"/>
        </w:rPr>
        <w:t xml:space="preserve">在多輪累積上下文下難以穩定維持「推理→工具呼叫→觀察整合」的格式紀律，傾向在</w:t>
      </w:r>
      <w:r>
        <w:t xml:space="preserve"> Thought </w:t>
      </w:r>
      <w:r>
        <w:rPr>
          <w:rFonts w:hint="eastAsia"/>
        </w:rPr>
        <w:t xml:space="preserve">步驟產生合理推理後，於</w:t>
      </w:r>
      <w:r>
        <w:t xml:space="preserve"> Action </w:t>
      </w:r>
      <w:r>
        <w:rPr>
          <w:rFonts w:hint="eastAsia"/>
        </w:rPr>
        <w:t xml:space="preserve">步驟使用錯誤參數或呼叫非預期工具，S_Traj</w:t>
      </w:r>
      <w:r>
        <w:t xml:space="preserve"> </w:t>
      </w:r>
      <w:r>
        <w:rPr>
          <w:rFonts w:hint="eastAsia"/>
        </w:rPr>
        <w:t xml:space="preserve">因此同步下滑至</w:t>
      </w:r>
      <w:r>
        <w:t xml:space="preserve"> 63.1。Reflection </w:t>
      </w:r>
      <w:r>
        <w:rPr>
          <w:rFonts w:hint="eastAsia"/>
        </w:rPr>
        <w:t xml:space="preserve">的問題則不在工具呼叫，而在自我修正機制的前提假設與模型能力之間的落差，三階段設計預設模型能夠識別並精準修正初稿缺陷，但</w:t>
      </w:r>
      <w:r>
        <w:t xml:space="preserve"> llama3.1:8b </w:t>
      </w:r>
      <w:r>
        <w:rPr>
          <w:rFonts w:hint="eastAsia"/>
        </w:rPr>
        <w:t xml:space="preserve">的</w:t>
      </w:r>
      <w:r>
        <w:t xml:space="preserve"> Reflection </w:t>
      </w:r>
      <w:r>
        <w:rPr>
          <w:rFonts w:hint="eastAsia"/>
        </w:rPr>
        <w:t xml:space="preserve">步驟實際上傾向產生冗長補充而非有效修正，品質增益未能等比例反映在</w:t>
      </w:r>
      <w:r>
        <w:t xml:space="preserve"> S_Agent </w:t>
      </w:r>
      <w:r>
        <w:rPr>
          <w:rFonts w:hint="eastAsia"/>
        </w:rPr>
        <w:t xml:space="preserve">上，最終以最低</w:t>
      </w:r>
      <w:r>
        <w:t xml:space="preserve"> </w:t>
      </w:r>
      <w:r>
        <w:rPr>
          <w:rFonts w:hint="eastAsia"/>
        </w:rPr>
        <w:t xml:space="preserve">S_Agent（65.80）收尾。Single-slot</w:t>
      </w:r>
      <w:r>
        <w:t xml:space="preserve"> </w:t>
      </w:r>
      <w:r>
        <w:rPr>
          <w:rFonts w:hint="eastAsia"/>
        </w:rPr>
        <w:t xml:space="preserve">在</w:t>
      </w:r>
      <w:r>
        <w:t xml:space="preserve"> IS </w:t>
      </w:r>
      <w:r>
        <w:rPr>
          <w:rFonts w:hint="eastAsia"/>
        </w:rPr>
        <w:t xml:space="preserve">下居次，反映其單輪設計在工具覆蓋充分時仍能產出完整回覆，但缺乏迭代修正空間使其在複雜多步任務上存在結構性上限。</w:t>
      </w:r>
    </w:p>
    <w:p>
      <w:pPr>
        <w:pStyle w:val="a0"/>
      </w:pPr>
      <w:r>
        <w:rPr>
          <w:rFonts w:hint="eastAsia"/>
        </w:rPr>
        <w:t xml:space="preserve">值得注意的是，IS</w:t>
      </w:r>
      <w:r>
        <w:t xml:space="preserve"> </w:t>
      </w:r>
      <w:r>
        <w:rPr>
          <w:rFonts w:hint="eastAsia"/>
        </w:rPr>
        <w:t xml:space="preserve">下</w:t>
      </w:r>
      <w:r>
        <w:t xml:space="preserve"> S_Agent </w:t>
      </w:r>
      <w:r>
        <w:rPr>
          <w:rFonts w:hint="eastAsia"/>
        </w:rPr>
        <w:t xml:space="preserve">排名與</w:t>
      </w:r>
      <w:r>
        <w:t xml:space="preserve"> Judge </w:t>
      </w:r>
      <w:r>
        <w:rPr>
          <w:rFonts w:hint="eastAsia"/>
        </w:rPr>
        <w:t xml:space="preserve">均分排名之間存在系統性背離，ReAct</w:t>
      </w:r>
      <w:r>
        <w:t xml:space="preserve"> </w:t>
      </w:r>
      <w:r>
        <w:rPr>
          <w:rFonts w:hint="eastAsia"/>
        </w:rPr>
        <w:t xml:space="preserve">的</w:t>
      </w:r>
      <w:r>
        <w:t xml:space="preserve"> Judge </w:t>
      </w:r>
      <w:r>
        <w:rPr>
          <w:rFonts w:hint="eastAsia"/>
        </w:rPr>
        <w:t xml:space="preserve">均分最高（69.8），但</w:t>
      </w:r>
      <w:r>
        <w:t xml:space="preserve"> S_Agent </w:t>
      </w:r>
      <w:r>
        <w:rPr>
          <w:rFonts w:hint="eastAsia"/>
        </w:rPr>
        <w:t xml:space="preserve">排名第三（76.37）。PlanExecute</w:t>
      </w:r>
      <w:r>
        <w:t xml:space="preserve"> </w:t>
      </w:r>
      <w:r>
        <w:rPr>
          <w:rFonts w:hint="eastAsia"/>
        </w:rPr>
        <w:t xml:space="preserve">的</w:t>
      </w:r>
      <w:r>
        <w:t xml:space="preserve"> S_Agent </w:t>
      </w:r>
      <w:r>
        <w:rPr>
          <w:rFonts w:hint="eastAsia"/>
        </w:rPr>
        <w:t xml:space="preserve">排名第一（83.07），Judge</w:t>
      </w:r>
      <w:r>
        <w:t xml:space="preserve"> </w:t>
      </w:r>
      <w:r>
        <w:rPr>
          <w:rFonts w:hint="eastAsia"/>
        </w:rPr>
        <w:t xml:space="preserve">均分卻僅居次（64.2）。此差異源於兩種評估維度所捕捉的品質面向根本不同，S_Agent</w:t>
      </w:r>
      <w:r>
        <w:t xml:space="preserve"> </w:t>
      </w:r>
      <w:r>
        <w:rPr>
          <w:rFonts w:hint="eastAsia"/>
        </w:rPr>
        <w:t xml:space="preserve">衡量的是過程品質，包含工具呼叫正確性（S_Tool）、對話格式紀律（S_Traj）等可驗證的執行層指標。Judge均分衡量的是輸出品質，由</w:t>
      </w:r>
      <w:r>
        <w:t xml:space="preserve"> LLM </w:t>
      </w:r>
      <w:r>
        <w:rPr>
          <w:rFonts w:hint="eastAsia"/>
        </w:rPr>
        <w:t xml:space="preserve">評審從顧客視角判斷最終回覆的幫助性與自然度。ReAct</w:t>
      </w:r>
      <w:r>
        <w:t xml:space="preserve"> </w:t>
      </w:r>
      <w:r>
        <w:rPr>
          <w:rFonts w:hint="eastAsia"/>
        </w:rPr>
        <w:t xml:space="preserve">的</w:t>
      </w:r>
      <w:r>
        <w:t xml:space="preserve"> Thought-Action </w:t>
      </w:r>
      <w:r>
        <w:rPr>
          <w:rFonts w:hint="eastAsia"/>
        </w:rPr>
        <w:t xml:space="preserve">循環雖然工具呼叫格式不穩定，但多輪推理過程逐步累積的語義脈絡使最終回覆語言豐富、解釋完整，在輸出品質上表現突出，PlanExecute</w:t>
      </w:r>
      <w:r>
        <w:t xml:space="preserve"> </w:t>
      </w:r>
      <w:r>
        <w:rPr>
          <w:rFonts w:hint="eastAsia"/>
        </w:rPr>
        <w:t xml:space="preserve">的執行步驟結構精確，回覆正確但語言相對簡練，Judge</w:t>
      </w:r>
      <w:r>
        <w:t xml:space="preserve"> </w:t>
      </w:r>
      <w:r>
        <w:rPr>
          <w:rFonts w:hint="eastAsia"/>
        </w:rPr>
        <w:t xml:space="preserve">評分因此略低。此背離說明，若以</w:t>
      </w:r>
      <w:r>
        <w:t xml:space="preserve"> Judge </w:t>
      </w:r>
      <w:r>
        <w:rPr>
          <w:rFonts w:hint="eastAsia"/>
        </w:rPr>
        <w:t xml:space="preserve">分數為唯一指標，ReAct</w:t>
      </w:r>
      <w:r>
        <w:t xml:space="preserve"> </w:t>
      </w:r>
      <w:r>
        <w:rPr>
          <w:rFonts w:hint="eastAsia"/>
        </w:rPr>
        <w:t xml:space="preserve">將被誤判為最佳架構，而其工具呼叫品質崩潰（S_Tool</w:t>
      </w:r>
      <w:r>
        <w:t xml:space="preserve"> </w:t>
      </w:r>
      <w:r>
        <w:rPr>
          <w:rFonts w:hint="eastAsia"/>
        </w:rPr>
        <w:t xml:space="preserve">47.7）與高成本結構帶來的實際部署風險將被掩蓋，S_Agent</w:t>
      </w:r>
      <w:r>
        <w:t xml:space="preserve"> </w:t>
      </w:r>
      <w:r>
        <w:rPr>
          <w:rFonts w:hint="eastAsia"/>
        </w:rPr>
        <w:t xml:space="preserve">的多維度設計正是為了避免此類單一指標的評估盲區。</w:t>
      </w:r>
    </w:p>
    <w:p>
      <w:pPr>
        <w:pStyle w:val="a0"/>
      </w:pPr>
      <w:r>
        <w:t xml:space="preserve">OOS </w:t>
      </w:r>
      <w:r>
        <w:rPr>
          <w:rFonts w:hint="eastAsia"/>
        </w:rPr>
        <w:t xml:space="preserve">下的架構表現差異，揭示了終止機制設計對工具覆蓋缺口的敏感程度。PlanExecute</w:t>
      </w:r>
      <w:r>
        <w:t xml:space="preserve"> </w:t>
      </w:r>
      <w:r>
        <w:rPr>
          <w:rFonts w:hint="eastAsia"/>
        </w:rPr>
        <w:t xml:space="preserve">在</w:t>
      </w:r>
      <w:r>
        <w:t xml:space="preserve"> OOS </w:t>
      </w:r>
      <w:r>
        <w:rPr>
          <w:rFonts w:hint="eastAsia"/>
        </w:rPr>
        <w:t xml:space="preserve">仍維持最高</w:t>
      </w:r>
      <w:r>
        <w:t xml:space="preserve"> </w:t>
      </w:r>
      <w:r>
        <w:rPr>
          <w:rFonts w:hint="eastAsia"/>
        </w:rPr>
        <w:t xml:space="preserve">S_Agent（73.2），根本原因在於其終止機制不依賴工具回傳的成功信號——計畫階段產生行動序列後，執行階段按序走完即結束對話，無需等待成功觀察作為退出條件。這使</w:t>
      </w:r>
      <w:r>
        <w:t xml:space="preserve"> PlanExecute </w:t>
      </w:r>
      <w:r>
        <w:rPr>
          <w:rFonts w:hint="eastAsia"/>
        </w:rPr>
        <w:t xml:space="preserve">在工具集無法解決新意圖時仍能以確定性方式完成對話，有效終止率因此維持</w:t>
      </w:r>
      <w:r>
        <w:t xml:space="preserve"> </w:t>
      </w:r>
      <w:r>
        <w:rPr>
          <w:rFonts w:hint="eastAsia"/>
        </w:rPr>
        <w:t xml:space="preserve">96%，避免了迭代架構在工具覆蓋缺口下的無限循環問題。</w:t>
      </w:r>
    </w:p>
    <w:p>
      <w:pPr>
        <w:pStyle w:val="a0"/>
      </w:pPr>
      <w:r>
        <w:t xml:space="preserve">ReAct </w:t>
      </w:r>
      <w:r>
        <w:rPr>
          <w:rFonts w:hint="eastAsia"/>
        </w:rPr>
        <w:t xml:space="preserve">的收斂機制則與此相反，Thought-Action</w:t>
      </w:r>
      <w:r>
        <w:t xml:space="preserve"> </w:t>
      </w:r>
      <w:r>
        <w:rPr>
          <w:rFonts w:hint="eastAsia"/>
        </w:rPr>
        <w:t xml:space="preserve">循環以工具呼叫成功作為退出信號，當工具集無法覆蓋</w:t>
      </w:r>
      <w:r>
        <w:t xml:space="preserve"> OOS </w:t>
      </w:r>
      <w:r>
        <w:rPr>
          <w:rFonts w:hint="eastAsia"/>
        </w:rPr>
        <w:t xml:space="preserve">新意圖時，收斂所需的成功觀察在結構上不可達，循環因此在無終止條件的狀態下持續運行，直到重複偵測機制介入而觸發</w:t>
      </w:r>
      <w:r>
        <w:t xml:space="preserve"> </w:t>
      </w:r>
      <w:r>
        <w:rPr>
          <w:rFonts w:hint="eastAsia"/>
        </w:rPr>
        <w:t xml:space="preserve">LOOP_FAILURE，OOS</w:t>
      </w:r>
      <w:r>
        <w:t xml:space="preserve"> Polite Persona </w:t>
      </w:r>
      <w:r>
        <w:rPr>
          <w:rFonts w:hint="eastAsia"/>
        </w:rPr>
        <w:t xml:space="preserve">的</w:t>
      </w:r>
      <w:r>
        <w:t xml:space="preserve"> 42% LOOP_FAILURE </w:t>
      </w:r>
      <w:r>
        <w:rPr>
          <w:rFonts w:hint="eastAsia"/>
        </w:rPr>
        <w:t xml:space="preserve">率正是此機制的直接呈現。Single-slot</w:t>
      </w:r>
      <w:r>
        <w:t xml:space="preserve"> </w:t>
      </w:r>
      <w:r>
        <w:rPr>
          <w:rFonts w:hint="eastAsia"/>
        </w:rPr>
        <w:t xml:space="preserve">在</w:t>
      </w:r>
      <w:r>
        <w:t xml:space="preserve"> OOS </w:t>
      </w:r>
      <w:r>
        <w:rPr>
          <w:rFonts w:hint="eastAsia"/>
        </w:rPr>
        <w:t xml:space="preserve">下反超</w:t>
      </w:r>
      <w:r>
        <w:t xml:space="preserve"> </w:t>
      </w:r>
      <w:r>
        <w:rPr>
          <w:rFonts w:hint="eastAsia"/>
        </w:rPr>
        <w:t xml:space="preserve">ReAct，揭示了相反的機制邏輯：單輪架構在遭遇無法處理的意圖時，第一輪即輸出通用回覆並結束對話，完全跳過了迭代架構在無效嘗試中逐輪累積懲罰的過程，說明在工具覆蓋不確定的情境下，快速確定性失敗在整體評分上優於反覆嘗試。Reflection</w:t>
      </w:r>
      <w:r>
        <w:t xml:space="preserve"> </w:t>
      </w:r>
      <w:r>
        <w:rPr>
          <w:rFonts w:hint="eastAsia"/>
        </w:rPr>
        <w:t xml:space="preserve">的</w:t>
      </w:r>
      <w:r>
        <w:t xml:space="preserve"> OOS </w:t>
      </w:r>
      <w:r>
        <w:rPr>
          <w:rFonts w:hint="eastAsia"/>
        </w:rPr>
        <w:t xml:space="preserve">跌幅在四架構中最小（−5.0），但其絕對值仍為最低（60.8），跌幅小的原因是</w:t>
      </w:r>
      <w:r>
        <w:t xml:space="preserve"> IS </w:t>
      </w:r>
      <w:r>
        <w:rPr>
          <w:rFonts w:hint="eastAsia"/>
        </w:rPr>
        <w:t xml:space="preserve">基數本就偏低而非泛化能力較強，不宜解讀為穩健性優勢。</w:t>
      </w:r>
    </w:p>
    <w:p>
      <w:pPr>
        <w:pStyle w:val="a0"/>
      </w:pPr>
      <w:r>
        <w:t xml:space="preserve">PSS </w:t>
      </w:r>
      <w:r>
        <w:rPr>
          <w:rFonts w:hint="eastAsia"/>
        </w:rPr>
        <w:t xml:space="preserve">分析引出一個關於敏感度解讀的理論問題。IS</w:t>
      </w:r>
      <w:r>
        <w:t xml:space="preserve"> </w:t>
      </w:r>
      <w:r>
        <w:rPr>
          <w:rFonts w:hint="eastAsia"/>
        </w:rPr>
        <w:t xml:space="preserve">下簡單案例</w:t>
      </w:r>
      <w:r>
        <w:t xml:space="preserve"> PSS </w:t>
      </w:r>
      <w:r>
        <w:rPr>
          <w:rFonts w:hint="eastAsia"/>
        </w:rPr>
        <w:t xml:space="preserve">反而高於困難案例，與</w:t>
      </w:r>
      <w:r>
        <w:t xml:space="preserve"> </w:t>
      </w:r>
      <w:r>
        <w:rPr>
          <w:rFonts w:hint="eastAsia"/>
        </w:rPr>
        <w:t xml:space="preserve">ProSA（Zhuo</w:t>
      </w:r>
      <w:r>
        <w:t xml:space="preserve"> et al., </w:t>
      </w:r>
      <w:r>
        <w:rPr>
          <w:rFonts w:hint="eastAsia"/>
        </w:rPr>
        <w:t xml:space="preserve">2024）的預測方向相反，但此差異的根本來源並非難度本身，而是「成功邊界效應」，困難案例在所有</w:t>
      </w:r>
      <w:r>
        <w:t xml:space="preserve"> Persona </w:t>
      </w:r>
      <w:r>
        <w:rPr>
          <w:rFonts w:hint="eastAsia"/>
        </w:rPr>
        <w:t xml:space="preserve">下均接近失敗，分數集中於低分段，跨</w:t>
      </w:r>
      <w:r>
        <w:t xml:space="preserve"> Persona </w:t>
      </w:r>
      <w:r>
        <w:rPr>
          <w:rFonts w:hint="eastAsia"/>
        </w:rPr>
        <w:t xml:space="preserve">方差本就受壓縮，簡單案例存在成功潛力，使得</w:t>
      </w:r>
      <w:r>
        <w:t xml:space="preserve"> Persona </w:t>
      </w:r>
      <w:r>
        <w:rPr>
          <w:rFonts w:hint="eastAsia"/>
        </w:rPr>
        <w:t xml:space="preserve">的行為差異足以決定最終結果，邊界效應放大了分差。值得注意的是，本研究與</w:t>
      </w:r>
      <w:r>
        <w:t xml:space="preserve"> ProSA </w:t>
      </w:r>
      <w:r>
        <w:rPr>
          <w:rFonts w:hint="eastAsia"/>
        </w:rPr>
        <w:t xml:space="preserve">的分歧亦部分源於擾動類型的根本差異，ProSA</w:t>
      </w:r>
      <w:r>
        <w:t xml:space="preserve"> </w:t>
      </w:r>
      <w:r>
        <w:rPr>
          <w:rFonts w:hint="eastAsia"/>
        </w:rPr>
        <w:t xml:space="preserve">以</w:t>
      </w:r>
      <w:r>
        <w:t xml:space="preserve"> prompt </w:t>
      </w:r>
      <w:r>
        <w:rPr>
          <w:rFonts w:hint="eastAsia"/>
        </w:rPr>
        <w:t xml:space="preserve">改寫作為擾動，主要影響語義理解層，本研究以</w:t>
      </w:r>
      <w:r>
        <w:t xml:space="preserve"> Persona </w:t>
      </w:r>
      <w:r>
        <w:rPr>
          <w:rFonts w:hint="eastAsia"/>
        </w:rPr>
        <w:t xml:space="preserve">行為風格作為擾動，引入的是多輪對話中的對抗動態，兩者觸發截然不同的敏感性機制，不宜直接類比。OOS</w:t>
      </w:r>
      <w:r>
        <w:t xml:space="preserve"> </w:t>
      </w:r>
      <w:r>
        <w:rPr>
          <w:rFonts w:hint="eastAsia"/>
        </w:rPr>
        <w:t xml:space="preserve">下</w:t>
      </w:r>
      <w:r>
        <w:t xml:space="preserve"> ReAct PSS </w:t>
      </w:r>
      <w:r>
        <w:rPr>
          <w:rFonts w:hint="eastAsia"/>
        </w:rPr>
        <w:t xml:space="preserve">下降為架構行為的真實反映，陌生意圖讓各</w:t>
      </w:r>
      <w:r>
        <w:t xml:space="preserve"> Persona </w:t>
      </w:r>
      <w:r>
        <w:rPr>
          <w:rFonts w:hint="eastAsia"/>
        </w:rPr>
        <w:t xml:space="preserve">面對相同認知障礙，IS</w:t>
      </w:r>
      <w:r>
        <w:t xml:space="preserve"> </w:t>
      </w:r>
      <w:r>
        <w:rPr>
          <w:rFonts w:hint="eastAsia"/>
        </w:rPr>
        <w:t xml:space="preserve">中</w:t>
      </w:r>
      <w:r>
        <w:t xml:space="preserve"> PSS &gt; 30 </w:t>
      </w:r>
      <w:r>
        <w:rPr>
          <w:rFonts w:hint="eastAsia"/>
        </w:rPr>
        <w:t xml:space="preserve">的高差距案例（Persona</w:t>
      </w:r>
      <w:r>
        <w:t xml:space="preserve"> </w:t>
      </w:r>
      <w:r>
        <w:rPr>
          <w:rFonts w:hint="eastAsia"/>
        </w:rPr>
        <w:t xml:space="preserve">行為差異足以決定結果）從</w:t>
      </w:r>
      <w:r>
        <w:t xml:space="preserve"> 47 </w:t>
      </w:r>
      <w:r>
        <w:rPr>
          <w:rFonts w:hint="eastAsia"/>
        </w:rPr>
        <w:t xml:space="preserve">個降至</w:t>
      </w:r>
      <w:r>
        <w:t xml:space="preserve"> OOS </w:t>
      </w:r>
      <w:r>
        <w:rPr>
          <w:rFonts w:hint="eastAsia"/>
        </w:rPr>
        <w:t xml:space="preserve">的</w:t>
      </w:r>
      <w:r>
        <w:t xml:space="preserve"> 5 </w:t>
      </w:r>
      <w:r>
        <w:rPr>
          <w:rFonts w:hint="eastAsia"/>
        </w:rPr>
        <w:t xml:space="preserve">個，成功邊界效應在分布外場景下幾近消失，跨</w:t>
      </w:r>
      <w:r>
        <w:t xml:space="preserve"> Persona </w:t>
      </w:r>
      <w:r>
        <w:rPr>
          <w:rFonts w:hint="eastAsia"/>
        </w:rPr>
        <w:t xml:space="preserve">分歧空間大幅收縮。</w:t>
      </w:r>
    </w:p>
    <w:bookmarkEnd w:id="14"/>
    <w:bookmarkStart w:id="15" w:name="成本分析"/>
    <w:p>
      <w:pPr>
        <w:pStyle w:val="3"/>
      </w:pPr>
      <w:r>
        <w:t xml:space="preserve">5.2 </w:t>
      </w:r>
      <w:r>
        <w:rPr>
          <w:rFonts w:hint="eastAsia"/>
        </w:rPr>
        <w:t xml:space="preserve">成本分析</w:t>
      </w:r>
    </w:p>
    <w:p>
      <w:pPr>
        <w:pStyle w:val="FirstParagraph"/>
      </w:pPr>
      <w:r>
        <w:rPr>
          <w:rFonts w:hint="eastAsia"/>
        </w:rPr>
        <w:t xml:space="preserve">成本排名（PlanExecute</w:t>
      </w:r>
      <w:r>
        <w:t xml:space="preserve"> 20.83 &lt; Single-slot 28.70 &lt; ReAct 30.30 &lt; Reflection </w:t>
      </w:r>
      <w:r>
        <w:rPr>
          <w:rFonts w:hint="eastAsia"/>
        </w:rPr>
        <w:t xml:space="preserve">33.90）揭示了三個各自獨立的驅動機制。</w:t>
      </w:r>
    </w:p>
    <w:p>
      <w:pPr>
        <w:pStyle w:val="a0"/>
      </w:pPr>
      <w:r>
        <w:t xml:space="preserve">PlanExecute </w:t>
      </w:r>
      <w:r>
        <w:rPr>
          <w:rFonts w:hint="eastAsia"/>
        </w:rPr>
        <w:t xml:space="preserve">的</w:t>
      </w:r>
      <w:r>
        <w:t xml:space="preserve"> ProxyCost </w:t>
      </w:r>
      <w:r>
        <w:rPr>
          <w:rFonts w:hint="eastAsia"/>
        </w:rPr>
        <w:t xml:space="preserve">最低，且反直覺地低於</w:t>
      </w:r>
      <w:r>
        <w:t xml:space="preserve"> </w:t>
      </w:r>
      <w:r>
        <w:rPr>
          <w:rFonts w:hint="eastAsia"/>
        </w:rPr>
        <w:t xml:space="preserve">Single-slot，根本原因在於結構化分工帶來的輸出精簡效應。Single-slot</w:t>
      </w:r>
      <w:r>
        <w:t xml:space="preserve"> </w:t>
      </w:r>
      <w:r>
        <w:rPr>
          <w:rFonts w:hint="eastAsia"/>
        </w:rPr>
        <w:t xml:space="preserve">必須在單輪內生成一份覆蓋所有情況的完整回覆，輸出本身偏長，PlanExecute</w:t>
      </w:r>
      <w:r>
        <w:t xml:space="preserve"> </w:t>
      </w:r>
      <w:r>
        <w:rPr>
          <w:rFonts w:hint="eastAsia"/>
        </w:rPr>
        <w:t xml:space="preserve">的計畫步驟只產生簡短行動序列，每個執行步驟亦只需完成單一已確定的動作，結構化分工讓每步輸出保持精簡，token</w:t>
      </w:r>
      <w:r>
        <w:t xml:space="preserve"> </w:t>
      </w:r>
      <w:r>
        <w:rPr>
          <w:rFonts w:hint="eastAsia"/>
        </w:rPr>
        <w:t xml:space="preserve">均值（16,999）因此比</w:t>
      </w:r>
      <w:r>
        <w:t xml:space="preserve"> </w:t>
      </w:r>
      <w:r>
        <w:rPr>
          <w:rFonts w:hint="eastAsia"/>
        </w:rPr>
        <w:t xml:space="preserve">Single-slot（24,086）少了</w:t>
      </w:r>
      <w:r>
        <w:t xml:space="preserve"> </w:t>
      </w:r>
      <w:r>
        <w:rPr>
          <w:rFonts w:hint="eastAsia"/>
        </w:rPr>
        <w:t xml:space="preserve">29%，足以抵消多一次</w:t>
      </w:r>
      <w:r>
        <w:t xml:space="preserve"> LLM </w:t>
      </w:r>
      <w:r>
        <w:rPr>
          <w:rFonts w:hint="eastAsia"/>
        </w:rPr>
        <w:t xml:space="preserve">呼叫的代價。</w:t>
      </w:r>
    </w:p>
    <w:p>
      <w:pPr>
        <w:pStyle w:val="a0"/>
      </w:pPr>
      <w:r>
        <w:t xml:space="preserve">Reflection </w:t>
      </w:r>
      <w:r>
        <w:rPr>
          <w:rFonts w:hint="eastAsia"/>
        </w:rPr>
        <w:t xml:space="preserve">的</w:t>
      </w:r>
      <w:r>
        <w:t xml:space="preserve"> ProxyCost </w:t>
      </w:r>
      <w:r>
        <w:rPr>
          <w:rFonts w:hint="eastAsia"/>
        </w:rPr>
        <w:t xml:space="preserve">最高，成因是管線深度與冗長輸出的雙重疊加。三階段設計在每輪對話中至少產生三次完整</w:t>
      </w:r>
      <w:r>
        <w:t xml:space="preserve"> LLM </w:t>
      </w:r>
      <w:r>
        <w:rPr>
          <w:rFonts w:hint="eastAsia"/>
        </w:rPr>
        <w:t xml:space="preserve">呼叫，且</w:t>
      </w:r>
      <w:r>
        <w:t xml:space="preserve"> Reflection </w:t>
      </w:r>
      <w:r>
        <w:rPr>
          <w:rFonts w:hint="eastAsia"/>
        </w:rPr>
        <w:t xml:space="preserve">步驟傾向生成比初稿更長的補充內容而非精準修正，三次呼叫的輸出長度逐層疊加，token</w:t>
      </w:r>
      <w:r>
        <w:t xml:space="preserve"> </w:t>
      </w:r>
      <w:r>
        <w:rPr>
          <w:rFonts w:hint="eastAsia"/>
        </w:rPr>
        <w:t xml:space="preserve">均值達</w:t>
      </w:r>
      <w:r>
        <w:t xml:space="preserve"> </w:t>
      </w:r>
      <w:r>
        <w:rPr>
          <w:rFonts w:hint="eastAsia"/>
        </w:rPr>
        <w:t xml:space="preserve">75,105（是</w:t>
      </w:r>
      <w:r>
        <w:t xml:space="preserve"> PlanExecute </w:t>
      </w:r>
      <w:r>
        <w:rPr>
          <w:rFonts w:hint="eastAsia"/>
        </w:rPr>
        <w:t xml:space="preserve">的</w:t>
      </w:r>
      <w:r>
        <w:t xml:space="preserve"> 4.4 </w:t>
      </w:r>
      <w:r>
        <w:rPr>
          <w:rFonts w:hint="eastAsia"/>
        </w:rPr>
        <w:t xml:space="preserve">倍）。這是設計模式帶來的結構性固定成本，無法透過調整</w:t>
      </w:r>
      <w:r>
        <w:t xml:space="preserve"> prompt </w:t>
      </w:r>
      <w:r>
        <w:rPr>
          <w:rFonts w:hint="eastAsia"/>
        </w:rPr>
        <w:t xml:space="preserve">或參數消除。</w:t>
      </w:r>
    </w:p>
    <w:p>
      <w:pPr>
        <w:pStyle w:val="a0"/>
      </w:pPr>
      <w:r>
        <w:t xml:space="preserve">ReAct </w:t>
      </w:r>
      <w:r>
        <w:rPr>
          <w:rFonts w:hint="eastAsia"/>
        </w:rPr>
        <w:t xml:space="preserve">的成本呈現一個值得關注的現象，其</w:t>
      </w:r>
      <w:r>
        <w:t xml:space="preserve"> token </w:t>
      </w:r>
      <w:r>
        <w:rPr>
          <w:rFonts w:hint="eastAsia"/>
        </w:rPr>
        <w:t xml:space="preserve">數（20,831）低於</w:t>
      </w:r>
      <w:r>
        <w:t xml:space="preserve"> </w:t>
      </w:r>
      <w:r>
        <w:rPr>
          <w:rFonts w:hint="eastAsia"/>
        </w:rPr>
        <w:t xml:space="preserve">Single-slot（24,086），但</w:t>
      </w:r>
      <w:r>
        <w:t xml:space="preserve"> </w:t>
      </w:r>
      <w:r>
        <w:rPr>
          <w:rFonts w:hint="eastAsia"/>
        </w:rPr>
        <w:t xml:space="preserve">ProxyCost（30.30）反而高於</w:t>
      </w:r>
      <w:r>
        <w:t xml:space="preserve"> </w:t>
      </w:r>
      <w:r>
        <w:rPr>
          <w:rFonts w:hint="eastAsia"/>
        </w:rPr>
        <w:t xml:space="preserve">Single-slot（28.70）。原因在於</w:t>
      </w:r>
      <w:r>
        <w:t xml:space="preserve"> ProxyCost </w:t>
      </w:r>
      <w:r>
        <w:rPr>
          <w:rFonts w:hint="eastAsia"/>
        </w:rPr>
        <w:t xml:space="preserve">對</w:t>
      </w:r>
      <w:r>
        <w:t xml:space="preserve"> LLM </w:t>
      </w:r>
      <w:r>
        <w:rPr>
          <w:rFonts w:hint="eastAsia"/>
        </w:rPr>
        <w:t xml:space="preserve">呼叫次數賦予</w:t>
      </w:r>
      <w:r>
        <w:t xml:space="preserve"> 30% </w:t>
      </w:r>
      <w:r>
        <w:rPr>
          <w:rFonts w:hint="eastAsia"/>
        </w:rPr>
        <w:t xml:space="preserve">的獨立權重，Thought-Action</w:t>
      </w:r>
      <w:r>
        <w:t xml:space="preserve"> </w:t>
      </w:r>
      <w:r>
        <w:rPr>
          <w:rFonts w:hint="eastAsia"/>
        </w:rPr>
        <w:t xml:space="preserve">循環中每個</w:t>
      </w:r>
      <w:r>
        <w:t xml:space="preserve"> Action </w:t>
      </w:r>
      <w:r>
        <w:rPr>
          <w:rFonts w:hint="eastAsia"/>
        </w:rPr>
        <w:t xml:space="preserve">步驟觸發一次獨立</w:t>
      </w:r>
      <w:r>
        <w:t xml:space="preserve"> LLM </w:t>
      </w:r>
      <w:r>
        <w:rPr>
          <w:rFonts w:hint="eastAsia"/>
        </w:rPr>
        <w:t xml:space="preserve">呼叫，多輪迭代累積的呼叫次數拉高了整體成本，token</w:t>
      </w:r>
      <w:r>
        <w:t xml:space="preserve"> </w:t>
      </w:r>
      <w:r>
        <w:rPr>
          <w:rFonts w:hint="eastAsia"/>
        </w:rPr>
        <w:t xml:space="preserve">上的節省無法完全轉化為</w:t>
      </w:r>
      <w:r>
        <w:t xml:space="preserve"> ProxyCost </w:t>
      </w:r>
      <w:r>
        <w:rPr>
          <w:rFonts w:hint="eastAsia"/>
        </w:rPr>
        <w:t xml:space="preserve">優勢。在真實</w:t>
      </w:r>
      <w:r>
        <w:t xml:space="preserve"> API </w:t>
      </w:r>
      <w:r>
        <w:rPr>
          <w:rFonts w:hint="eastAsia"/>
        </w:rPr>
        <w:t xml:space="preserve">部署中，呼叫次數通常與</w:t>
      </w:r>
      <w:r>
        <w:t xml:space="preserve"> token </w:t>
      </w:r>
      <w:r>
        <w:rPr>
          <w:rFonts w:hint="eastAsia"/>
        </w:rPr>
        <w:t xml:space="preserve">數並列計費，ReAct</w:t>
      </w:r>
      <w:r>
        <w:t xml:space="preserve"> </w:t>
      </w:r>
      <w:r>
        <w:rPr>
          <w:rFonts w:hint="eastAsia"/>
        </w:rPr>
        <w:t xml:space="preserve">的實際成本壓力會比</w:t>
      </w:r>
      <w:r>
        <w:t xml:space="preserve"> token </w:t>
      </w:r>
      <w:r>
        <w:rPr>
          <w:rFonts w:hint="eastAsia"/>
        </w:rPr>
        <w:t xml:space="preserve">數字所呈現的更為顯著。</w:t>
      </w:r>
    </w:p>
    <w:p>
      <w:pPr>
        <w:pStyle w:val="a0"/>
      </w:pPr>
      <w:r>
        <w:t xml:space="preserve">OOS </w:t>
      </w:r>
      <w:r>
        <w:rPr>
          <w:rFonts w:hint="eastAsia"/>
        </w:rPr>
        <w:t xml:space="preserve">下各架構的</w:t>
      </w:r>
      <w:r>
        <w:t xml:space="preserve"> NetValue </w:t>
      </w:r>
      <w:r>
        <w:rPr>
          <w:rFonts w:hint="eastAsia"/>
        </w:rPr>
        <w:t xml:space="preserve">惡化呈現明顯的不對稱性，token</w:t>
      </w:r>
      <w:r>
        <w:t xml:space="preserve"> </w:t>
      </w:r>
      <w:r>
        <w:rPr>
          <w:rFonts w:hint="eastAsia"/>
        </w:rPr>
        <w:t xml:space="preserve">成本僅小幅上升，但</w:t>
      </w:r>
      <w:r>
        <w:t xml:space="preserve"> NetValue </w:t>
      </w:r>
      <w:r>
        <w:rPr>
          <w:rFonts w:hint="eastAsia"/>
        </w:rPr>
        <w:t xml:space="preserve">縮水約</w:t>
      </w:r>
      <w:r>
        <w:t xml:space="preserve"> </w:t>
      </w:r>
      <w:r>
        <w:rPr>
          <w:rFonts w:hint="eastAsia"/>
        </w:rPr>
        <w:t xml:space="preserve">60%。品質側與成本側受到完全不同機制驅動——成本微幅上升源於應對陌生意圖時的輕微摸索，品質崩跌則反映工具集覆蓋缺口與底層模型推理能力上限的共同作用，任何架構都無法繞過。因此，在冷啟動或意圖覆蓋不確定的場景下，退回更簡單的架構可降低成本側，卻無法改善品質側，真正能改變</w:t>
      </w:r>
      <w:r>
        <w:t xml:space="preserve"> OOS NetValue </w:t>
      </w:r>
      <w:r>
        <w:rPr>
          <w:rFonts w:hint="eastAsia"/>
        </w:rPr>
        <w:t xml:space="preserve">的干預是擴展工具集，而非調整架構。對電商平台而言，這意味著在意圖覆蓋不足的情境下，工具集的擴展（如新增節慶促銷、物流異常、客訴糾紛等意圖處理能力）比升級架構複雜度更能有效改善服務效益。</w:t>
      </w:r>
    </w:p>
    <w:bookmarkEnd w:id="15"/>
    <w:bookmarkStart w:id="16" w:name="邊際效益綜合評估框架的理論含義與部署決策"/>
    <w:p>
      <w:pPr>
        <w:pStyle w:val="3"/>
      </w:pPr>
      <w:r>
        <w:t xml:space="preserve">5.3 </w:t>
      </w:r>
      <w:r>
        <w:rPr>
          <w:rFonts w:hint="eastAsia"/>
        </w:rPr>
        <w:t xml:space="preserve">邊際效益綜合：評估框架的理論含義與部署決策</w:t>
      </w:r>
    </w:p>
    <w:p>
      <w:pPr>
        <w:pStyle w:val="FirstParagraph"/>
      </w:pPr>
      <w:r>
        <w:rPr>
          <w:rFonts w:hint="eastAsia"/>
        </w:rPr>
        <w:t xml:space="preserve">在整合品質與成本的</w:t>
      </w:r>
      <w:r>
        <w:t xml:space="preserve"> ΔMB </w:t>
      </w:r>
      <w:r>
        <w:rPr>
          <w:rFonts w:hint="eastAsia"/>
        </w:rPr>
        <w:t xml:space="preserve">視角下，PlanExecute</w:t>
      </w:r>
      <w:r>
        <w:t xml:space="preserve"> </w:t>
      </w:r>
      <w:r>
        <w:rPr>
          <w:rFonts w:hint="eastAsia"/>
        </w:rPr>
        <w:t xml:space="preserve">是唯一在</w:t>
      </w:r>
      <w:r>
        <w:t xml:space="preserve"> IS </w:t>
      </w:r>
      <w:r>
        <w:rPr>
          <w:rFonts w:hint="eastAsia"/>
        </w:rPr>
        <w:t xml:space="preserve">與</w:t>
      </w:r>
      <w:r>
        <w:t xml:space="preserve"> OOS </w:t>
      </w:r>
      <w:r>
        <w:rPr>
          <w:rFonts w:hint="eastAsia"/>
        </w:rPr>
        <w:t xml:space="preserve">雙環境下均維持正值的架構（IS</w:t>
      </w:r>
      <w:r>
        <w:t xml:space="preserve"> </w:t>
      </w:r>
      <w:r>
        <w:rPr>
          <w:rFonts w:hint="eastAsia"/>
        </w:rPr>
        <w:t xml:space="preserve">+0.162，OOS</w:t>
      </w:r>
      <w:r>
        <w:t xml:space="preserve"> </w:t>
      </w:r>
      <w:r>
        <w:rPr>
          <w:rFonts w:hint="eastAsia"/>
        </w:rPr>
        <w:t xml:space="preserve">+0.125）。其正</w:t>
      </w:r>
      <w:r>
        <w:t xml:space="preserve"> ΔMB </w:t>
      </w:r>
      <w:r>
        <w:rPr>
          <w:rFonts w:hint="eastAsia"/>
        </w:rPr>
        <w:t xml:space="preserve">的根本來源是雙維度主導，同時具備最高品質（S_Agent</w:t>
      </w:r>
      <w:r>
        <w:t xml:space="preserve"> </w:t>
      </w:r>
      <w:r>
        <w:rPr>
          <w:rFonts w:hint="eastAsia"/>
        </w:rPr>
        <w:t xml:space="preserve">83.07）與最低成本（ProxyCost</w:t>
      </w:r>
      <w:r>
        <w:t xml:space="preserve"> </w:t>
      </w:r>
      <w:r>
        <w:rPr>
          <w:rFonts w:hint="eastAsia"/>
        </w:rPr>
        <w:t xml:space="preserve">20.83），對</w:t>
      </w:r>
      <w:r>
        <w:t xml:space="preserve"> Single-slot </w:t>
      </w:r>
      <w:r>
        <w:rPr>
          <w:rFonts w:hint="eastAsia"/>
        </w:rPr>
        <w:t xml:space="preserve">形成品質與成本的同步超越。這在架構設計中並不常見，通常品質提升伴隨成本上升，但</w:t>
      </w:r>
      <w:r>
        <w:t xml:space="preserve"> PlanExecute </w:t>
      </w:r>
      <w:r>
        <w:rPr>
          <w:rFonts w:hint="eastAsia"/>
        </w:rPr>
        <w:t xml:space="preserve">的計畫執行分離同時實現兩者，計畫步驟精簡了執行複雜度，降低了</w:t>
      </w:r>
      <w:r>
        <w:t xml:space="preserve"> token </w:t>
      </w:r>
      <w:r>
        <w:rPr>
          <w:rFonts w:hint="eastAsia"/>
        </w:rPr>
        <w:t xml:space="preserve">消耗，執行步驟的格式紀律提升了工具呼叫準確率，帶來品質增益。雙維度的同步優勢使</w:t>
      </w:r>
      <w:r>
        <w:t xml:space="preserve"> ΔMB </w:t>
      </w:r>
      <w:r>
        <w:rPr>
          <w:rFonts w:hint="eastAsia"/>
        </w:rPr>
        <w:t xml:space="preserve">排名在</w:t>
      </w:r>
      <w:r>
        <w:t xml:space="preserve"> 969 </w:t>
      </w:r>
      <w:r>
        <w:rPr>
          <w:rFonts w:hint="eastAsia"/>
        </w:rPr>
        <w:t xml:space="preserve">種合法指標權重組合下完全穩定，結論不依賴特定的指標設計選擇。</w:t>
      </w:r>
    </w:p>
    <w:p>
      <w:pPr>
        <w:pStyle w:val="a0"/>
      </w:pPr>
      <w:r>
        <w:rPr>
          <w:rFonts w:hint="eastAsia"/>
        </w:rPr>
        <w:t xml:space="preserve">其他架構的</w:t>
      </w:r>
      <w:r>
        <w:t xml:space="preserve"> ΔMB </w:t>
      </w:r>
      <w:r>
        <w:rPr>
          <w:rFonts w:hint="eastAsia"/>
        </w:rPr>
        <w:t xml:space="preserve">均為負值，共同揭示了複雜架構在底層模型能力受限條件下的根本困境。ReAct</w:t>
      </w:r>
      <w:r>
        <w:t xml:space="preserve"> </w:t>
      </w:r>
      <w:r>
        <w:rPr>
          <w:rFonts w:hint="eastAsia"/>
        </w:rPr>
        <w:t xml:space="preserve">的</w:t>
      </w:r>
      <w:r>
        <w:t xml:space="preserve"> S_Outcome </w:t>
      </w:r>
      <w:r>
        <w:rPr>
          <w:rFonts w:hint="eastAsia"/>
        </w:rPr>
        <w:t xml:space="preserve">雖為全場最高（81.8），但</w:t>
      </w:r>
      <w:r>
        <w:t xml:space="preserve"> ΔMB = </w:t>
      </w:r>
      <w:r>
        <w:rPr>
          <w:rFonts w:hint="eastAsia"/>
        </w:rPr>
        <w:t xml:space="preserve">−0.059，說明其品質增益已被呼叫密集型成本結構所抵消，ProxyCost（30.30）高於</w:t>
      </w:r>
      <w:r>
        <w:t xml:space="preserve"> </w:t>
      </w:r>
      <w:r>
        <w:rPr>
          <w:rFonts w:hint="eastAsia"/>
        </w:rPr>
        <w:t xml:space="preserve">Single-slot（28.70），卻未能換取等比例的品質超越。Reflection</w:t>
      </w:r>
      <w:r>
        <w:t xml:space="preserve"> </w:t>
      </w:r>
      <w:r>
        <w:rPr>
          <w:rFonts w:hint="eastAsia"/>
        </w:rPr>
        <w:t xml:space="preserve">的情況更為嚴峻，ΔMB</w:t>
      </w:r>
      <w:r>
        <w:t xml:space="preserve"> = </w:t>
      </w:r>
      <w:r>
        <w:rPr>
          <w:rFonts w:hint="eastAsia"/>
        </w:rPr>
        <w:t xml:space="preserve">−0.267（IS），管線深度帶來的</w:t>
      </w:r>
      <w:r>
        <w:t xml:space="preserve"> 4.4 </w:t>
      </w:r>
      <w:r>
        <w:rPr>
          <w:rFonts w:hint="eastAsia"/>
        </w:rPr>
        <w:t xml:space="preserve">倍</w:t>
      </w:r>
      <w:r>
        <w:t xml:space="preserve"> token </w:t>
      </w:r>
      <w:r>
        <w:rPr>
          <w:rFonts w:hint="eastAsia"/>
        </w:rPr>
        <w:t xml:space="preserve">消耗加上自我修正的認知失效，使成本大幅超過品質輸出，形成最深的負值邊際效益。這一規律的共同根源在於，在</w:t>
      </w:r>
      <w:r>
        <w:t xml:space="preserve"> llama3.1:8b </w:t>
      </w:r>
      <w:r>
        <w:rPr>
          <w:rFonts w:hint="eastAsia"/>
        </w:rPr>
        <w:t xml:space="preserve">能力範圍內，模型本身的品質天花板已主導各架構的最終表現，複雜管線的設計優勢無從充分發揮，邊際品質增益因此無法覆蓋邊際成本。</w:t>
      </w:r>
    </w:p>
    <w:p>
      <w:pPr>
        <w:pStyle w:val="a0"/>
      </w:pPr>
      <w:r>
        <w:t xml:space="preserve">OOS </w:t>
      </w:r>
      <w:r>
        <w:rPr>
          <w:rFonts w:hint="eastAsia"/>
        </w:rPr>
        <w:t xml:space="preserve">下</w:t>
      </w:r>
      <w:r>
        <w:t xml:space="preserve"> PlanExecute </w:t>
      </w:r>
      <w:r>
        <w:rPr>
          <w:rFonts w:hint="eastAsia"/>
        </w:rPr>
        <w:t xml:space="preserve">的有效終止率（96%）與</w:t>
      </w:r>
      <w:r>
        <w:t xml:space="preserve"> Judge </w:t>
      </w:r>
      <w:r>
        <w:rPr>
          <w:rFonts w:hint="eastAsia"/>
        </w:rPr>
        <w:t xml:space="preserve">均分（27.3）的極端背離，揭示一個評估框架設計層面的根本問題，規則型指標（有效終止率）與語義型指標（Judge</w:t>
      </w:r>
      <w:r>
        <w:t xml:space="preserve"> </w:t>
      </w:r>
      <w:r>
        <w:rPr>
          <w:rFonts w:hint="eastAsia"/>
        </w:rPr>
        <w:t xml:space="preserve">分數）在</w:t>
      </w:r>
      <w:r>
        <w:t xml:space="preserve"> IS </w:t>
      </w:r>
      <w:r>
        <w:rPr>
          <w:rFonts w:hint="eastAsia"/>
        </w:rPr>
        <w:t xml:space="preserve">環境下因工具覆蓋充分而高度共變，但在</w:t>
      </w:r>
      <w:r>
        <w:t xml:space="preserve"> OOS </w:t>
      </w:r>
      <w:r>
        <w:rPr>
          <w:rFonts w:hint="eastAsia"/>
        </w:rPr>
        <w:t xml:space="preserve">環境下隨工具覆蓋邊界的突破而解耦。有效終止率衡量的是「對話是否以非病態方式終止」，在工具集充分時此條件與任務成功高度相關，在工具集不足時，此條件僅反映系統輸出了某個回覆，而非任務被解決。這種共變關係在分布偏移下的崩潰，揭示代理指標的根本侷限，代理指標與真實目標在分布內高度相關時看似可靠，一旦分布偏移，相關性消失，以代理指標評估的系統將呈現「虛假成功」。本研究的</w:t>
      </w:r>
      <w:r>
        <w:t xml:space="preserve"> OOS </w:t>
      </w:r>
      <w:r>
        <w:rPr>
          <w:rFonts w:hint="eastAsia"/>
        </w:rPr>
        <w:t xml:space="preserve">悖論提供了此現象在</w:t>
      </w:r>
      <w:r>
        <w:t xml:space="preserve"> LLM Agent </w:t>
      </w:r>
      <w:r>
        <w:rPr>
          <w:rFonts w:hint="eastAsia"/>
        </w:rPr>
        <w:t xml:space="preserve">評估中的具體案例，並建議在</w:t>
      </w:r>
      <w:r>
        <w:t xml:space="preserve"> benchmark </w:t>
      </w:r>
      <w:r>
        <w:rPr>
          <w:rFonts w:hint="eastAsia"/>
        </w:rPr>
        <w:t xml:space="preserve">設計中納入</w:t>
      </w:r>
      <w:r>
        <w:t xml:space="preserve"> OOS </w:t>
      </w:r>
      <w:r>
        <w:rPr>
          <w:rFonts w:hint="eastAsia"/>
        </w:rPr>
        <w:t xml:space="preserve">探針，以主動測試代理指標在分布外的有效性邊界。需指出的是，本研究</w:t>
      </w:r>
      <w:r>
        <w:t xml:space="preserve"> OOS </w:t>
      </w:r>
      <w:r>
        <w:rPr>
          <w:rFonts w:hint="eastAsia"/>
        </w:rPr>
        <w:t xml:space="preserve">樣本量為</w:t>
      </w:r>
      <w:r>
        <w:t xml:space="preserve"> 50 </w:t>
      </w:r>
      <w:r>
        <w:rPr>
          <w:rFonts w:hint="eastAsia"/>
        </w:rPr>
        <w:t xml:space="preserve">筆，意圖層分析的統計效力有限，相關結論應視為探索性發現而非定論。此外，IS</w:t>
      </w:r>
      <w:r>
        <w:t xml:space="preserve"> </w:t>
      </w:r>
      <w:r>
        <w:rPr>
          <w:rFonts w:hint="eastAsia"/>
        </w:rPr>
        <w:t xml:space="preserve">與</w:t>
      </w:r>
      <w:r>
        <w:t xml:space="preserve"> OOS </w:t>
      </w:r>
      <w:r>
        <w:rPr>
          <w:rFonts w:hint="eastAsia"/>
        </w:rPr>
        <w:t xml:space="preserve">資料集來源不同，觀察到的泛化跌幅同時包含意圖新穎性與資料集分布差異兩個來源，無法在現有實驗設計下完全區分，本研究的</w:t>
      </w:r>
      <w:r>
        <w:t xml:space="preserve"> OOS </w:t>
      </w:r>
      <w:r>
        <w:rPr>
          <w:rFonts w:hint="eastAsia"/>
        </w:rPr>
        <w:t xml:space="preserve">結論宜解讀為「跨資料集壓力測試」而非嚴格意義的域外泛化評估。</w:t>
      </w:r>
    </w:p>
    <w:p>
      <w:pPr>
        <w:pStyle w:val="a0"/>
      </w:pPr>
      <w:r>
        <w:rPr>
          <w:rFonts w:hint="eastAsia"/>
        </w:rPr>
        <w:t xml:space="preserve">綜合以上，在底層模型能力有限（llama3.1:8b）的部署情境下，本研究建議以</w:t>
      </w:r>
      <w:r>
        <w:t xml:space="preserve"> ΔMB </w:t>
      </w:r>
      <w:r>
        <w:rPr>
          <w:rFonts w:hint="eastAsia"/>
        </w:rPr>
        <w:t xml:space="preserve">取代有效終止率或單一品質分數作為架構選型的核心指標。就電商平台的實務部署而言，意圖覆蓋充分的成熟平台（如已定義核心退換貨、訂單查詢、促銷查詢等標準意圖）應優先採用</w:t>
      </w:r>
      <w:r>
        <w:t xml:space="preserve"> </w:t>
      </w:r>
      <w:r>
        <w:rPr>
          <w:rFonts w:hint="eastAsia"/>
        </w:rPr>
        <w:t xml:space="preserve">PlanExecute，其雙維度主導優勢（最高品質與最低成本同時成立）在</w:t>
      </w:r>
      <w:r>
        <w:t xml:space="preserve"> IS </w:t>
      </w:r>
      <w:r>
        <w:rPr>
          <w:rFonts w:hint="eastAsia"/>
        </w:rPr>
        <w:t xml:space="preserve">與</w:t>
      </w:r>
      <w:r>
        <w:t xml:space="preserve"> OOS </w:t>
      </w:r>
      <w:r>
        <w:rPr>
          <w:rFonts w:hint="eastAsia"/>
        </w:rPr>
        <w:t xml:space="preserve">下均能保持，是有限</w:t>
      </w:r>
      <w:r>
        <w:t xml:space="preserve"> LLM </w:t>
      </w:r>
      <w:r>
        <w:rPr>
          <w:rFonts w:hint="eastAsia"/>
        </w:rPr>
        <w:t xml:space="preserve">預算下</w:t>
      </w:r>
      <w:r>
        <w:t xml:space="preserve"> cost-effective </w:t>
      </w:r>
      <w:r>
        <w:rPr>
          <w:rFonts w:hint="eastAsia"/>
        </w:rPr>
        <w:t xml:space="preserve">的最佳選擇，在意圖分布尚不明確的冷啟動情境（如新平台上線或新品類擴展初期），Single-slot</w:t>
      </w:r>
      <w:r>
        <w:t xml:space="preserve"> </w:t>
      </w:r>
      <w:r>
        <w:rPr>
          <w:rFonts w:hint="eastAsia"/>
        </w:rPr>
        <w:t xml:space="preserve">的確定性終止機制提供更穩定的成本保護，可作為混合路由架構中處理不確定意圖的退場機制。電商平台在評估是否導入複雜架構時，應以</w:t>
      </w:r>
      <w:r>
        <w:t xml:space="preserve"> ΔMB </w:t>
      </w:r>
      <w:r>
        <w:rPr>
          <w:rFonts w:hint="eastAsia"/>
        </w:rPr>
        <w:t xml:space="preserve">檢驗額外架構成本是否能被品質增益所覆蓋，而非僅以架構複雜度作為服務能力的替代指標，在本地輕量模型部署情境下，複雜管線的設計優勢可能因模型能力天花板而無從發揮，ReAct</w:t>
      </w:r>
      <w:r>
        <w:t xml:space="preserve"> </w:t>
      </w:r>
      <w:r>
        <w:rPr>
          <w:rFonts w:hint="eastAsia"/>
        </w:rPr>
        <w:t xml:space="preserve">與</w:t>
      </w:r>
      <w:r>
        <w:t xml:space="preserve"> Reflection </w:t>
      </w:r>
      <w:r>
        <w:rPr>
          <w:rFonts w:hint="eastAsia"/>
        </w:rPr>
        <w:t xml:space="preserve">的案例即為此一風險的具體示範。需要強調的是，本研究結論與底層模型能力高度耦合，llama3.1:8b</w:t>
      </w:r>
      <w:r>
        <w:t xml:space="preserve"> </w:t>
      </w:r>
      <w:r>
        <w:rPr>
          <w:rFonts w:hint="eastAsia"/>
        </w:rPr>
        <w:t xml:space="preserve">的格式紀律限制使</w:t>
      </w:r>
      <w:r>
        <w:t xml:space="preserve"> ReAct </w:t>
      </w:r>
      <w:r>
        <w:rPr>
          <w:rFonts w:hint="eastAsia"/>
        </w:rPr>
        <w:t xml:space="preserve">的</w:t>
      </w:r>
      <w:r>
        <w:t xml:space="preserve"> Thought-Action </w:t>
      </w:r>
      <w:r>
        <w:rPr>
          <w:rFonts w:hint="eastAsia"/>
        </w:rPr>
        <w:t xml:space="preserve">格式難以穩定執行，元認知限制使</w:t>
      </w:r>
      <w:r>
        <w:t xml:space="preserve"> Reflection </w:t>
      </w:r>
      <w:r>
        <w:rPr>
          <w:rFonts w:hint="eastAsia"/>
        </w:rPr>
        <w:t xml:space="preserve">的自我修正機制效果有限，若以能力更強的模型重現本研究，ReAct</w:t>
      </w:r>
      <w:r>
        <w:t xml:space="preserve"> </w:t>
      </w:r>
      <w:r>
        <w:rPr>
          <w:rFonts w:hint="eastAsia"/>
        </w:rPr>
        <w:t xml:space="preserve">與</w:t>
      </w:r>
      <w:r>
        <w:t xml:space="preserve"> Reflection </w:t>
      </w:r>
      <w:r>
        <w:rPr>
          <w:rFonts w:hint="eastAsia"/>
        </w:rPr>
        <w:t xml:space="preserve">的相對表現可能顯著改善，架構排名亦可能隨之改變。</w:t>
      </w:r>
    </w:p>
    <w:p>
      <w:r>
        <w:pict>
          <v:rect style="width:0;height:1.5pt" o:hralign="center" o:hrstd="t" o:hr="t"/>
        </w:pict>
      </w:r>
    </w:p>
    <w:bookmarkEnd w:id="16"/>
    <w:bookmarkEnd w:id="17"/>
    <w:bookmarkEnd w:id="18"/>
    <w:sectPr w:rsidR="007C122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77E516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92473905"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C122F"/>
    <w:rsid w:val="000B7C9C"/>
    <w:rsid w:val="007C122F"/>
    <w:rsid w:val="00A13923"/>
    <w:rsid w:val="00AE26A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2026-05-31T08:33:56Z</dcterms:created>
  <dcterms:modified xsi:type="dcterms:W3CDTF">2026-05-31T08:33:56Z</dcterms:modified>
</cp:coreProperties>
</file>

<file path=docProps/custom.xml><?xml version="1.0" encoding="utf-8"?>
<Properties xmlns="http://schemas.openxmlformats.org/officeDocument/2006/custom-properties" xmlns:vt="http://schemas.openxmlformats.org/officeDocument/2006/docPropsVTypes"/>
</file>